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6695A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A4F18">
        <w:rPr>
          <w:rFonts w:ascii="Arial" w:hAnsi="Arial" w:cs="Arial"/>
          <w:b/>
          <w:sz w:val="24"/>
          <w:szCs w:val="24"/>
        </w:rPr>
        <w:t>IRD 104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A4F18" w:rsidRPr="00BA4F18">
        <w:rPr>
          <w:rFonts w:ascii="Arial" w:hAnsi="Arial" w:cs="Arial"/>
          <w:b/>
          <w:sz w:val="24"/>
          <w:szCs w:val="24"/>
        </w:rPr>
        <w:t>QUANTITATIVE SKILLS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A4F18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BA4F18">
        <w:rPr>
          <w:rFonts w:ascii="Tahoma" w:hAnsi="Tahoma" w:cs="Tahoma"/>
          <w:b/>
          <w:sz w:val="28"/>
          <w:szCs w:val="28"/>
        </w:rPr>
        <w:t xml:space="preserve">11.00 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55BE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61B70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661B70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661B70">
      <w:pPr>
        <w:spacing w:before="120" w:after="120" w:line="24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661B70" w:rsidRPr="004E2B48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Using</w:t>
      </w:r>
      <w:r>
        <w:rPr>
          <w:rFonts w:ascii="Times New Roman" w:hAnsi="Times New Roman"/>
          <w:sz w:val="24"/>
          <w:szCs w:val="24"/>
        </w:rPr>
        <w:t xml:space="preserve"> a</w:t>
      </w:r>
      <w:r w:rsidRPr="004E2B48">
        <w:rPr>
          <w:rFonts w:ascii="Times New Roman" w:hAnsi="Times New Roman"/>
          <w:sz w:val="24"/>
          <w:szCs w:val="24"/>
        </w:rPr>
        <w:t xml:space="preserve"> diagram, illustrate the following:</w:t>
      </w:r>
    </w:p>
    <w:p w:rsidR="00661B70" w:rsidRPr="004E2B48" w:rsidRDefault="00661B70" w:rsidP="00661B70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Positively skewed distribution           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4E2B48">
        <w:rPr>
          <w:rFonts w:ascii="Times New Roman" w:hAnsi="Times New Roman"/>
          <w:b/>
          <w:bCs/>
          <w:sz w:val="24"/>
          <w:szCs w:val="24"/>
        </w:rPr>
        <w:t>[2 marks]</w:t>
      </w:r>
    </w:p>
    <w:p w:rsidR="00661B70" w:rsidRDefault="00661B70" w:rsidP="00661B70">
      <w:pPr>
        <w:pStyle w:val="ListParagraph"/>
        <w:numPr>
          <w:ilvl w:val="0"/>
          <w:numId w:val="10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Normal distribution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[1 mark</w:t>
      </w:r>
      <w:r w:rsidRPr="004E2B48">
        <w:rPr>
          <w:rFonts w:ascii="Times New Roman" w:hAnsi="Times New Roman"/>
          <w:b/>
          <w:bCs/>
          <w:sz w:val="24"/>
          <w:szCs w:val="24"/>
        </w:rPr>
        <w:t>]</w:t>
      </w:r>
    </w:p>
    <w:p w:rsidR="00661B70" w:rsidRPr="00593609" w:rsidRDefault="00661B70" w:rsidP="00661B70">
      <w:pPr>
        <w:pStyle w:val="ListParagraph"/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  <w:r w:rsidRPr="00593609">
        <w:rPr>
          <w:rFonts w:ascii="Times New Roman" w:hAnsi="Times New Roman"/>
          <w:sz w:val="24"/>
          <w:szCs w:val="24"/>
        </w:rPr>
        <w:t xml:space="preserve">        </w:t>
      </w:r>
      <w:r w:rsidRPr="00593609">
        <w:rPr>
          <w:rFonts w:ascii="Times New Roman" w:hAnsi="Times New Roman"/>
          <w:sz w:val="24"/>
          <w:szCs w:val="24"/>
        </w:rPr>
        <w:tab/>
      </w:r>
      <w:r w:rsidRPr="00593609">
        <w:rPr>
          <w:rFonts w:ascii="Times New Roman" w:hAnsi="Times New Roman"/>
          <w:sz w:val="24"/>
          <w:szCs w:val="24"/>
        </w:rPr>
        <w:tab/>
      </w:r>
      <w:r w:rsidRPr="00593609">
        <w:rPr>
          <w:rFonts w:ascii="Times New Roman" w:hAnsi="Times New Roman"/>
          <w:sz w:val="24"/>
          <w:szCs w:val="24"/>
        </w:rPr>
        <w:tab/>
      </w:r>
      <w:r w:rsidRPr="00593609">
        <w:rPr>
          <w:rFonts w:ascii="Times New Roman" w:hAnsi="Times New Roman"/>
          <w:sz w:val="24"/>
          <w:szCs w:val="24"/>
        </w:rPr>
        <w:tab/>
      </w:r>
      <w:r w:rsidRPr="00593609">
        <w:rPr>
          <w:rFonts w:ascii="Times New Roman" w:hAnsi="Times New Roman"/>
          <w:sz w:val="24"/>
          <w:szCs w:val="24"/>
        </w:rPr>
        <w:tab/>
      </w:r>
      <w:r w:rsidRPr="00593609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661B70" w:rsidRPr="00892D01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92D01">
        <w:rPr>
          <w:rFonts w:ascii="Times New Roman" w:hAnsi="Times New Roman"/>
          <w:sz w:val="24"/>
          <w:szCs w:val="24"/>
        </w:rPr>
        <w:t>The table below shows the domiciles of students Attending University of Lagos 2012 – 2015</w:t>
      </w:r>
    </w:p>
    <w:p w:rsidR="00661B70" w:rsidRDefault="00661B70" w:rsidP="00661B70">
      <w:pPr>
        <w:pStyle w:val="Default"/>
        <w:spacing w:before="120" w:after="120"/>
      </w:pPr>
      <w:r w:rsidRPr="00892D01">
        <w:t xml:space="preserve">             (Hypothetical)</w:t>
      </w:r>
    </w:p>
    <w:p w:rsidR="00661B70" w:rsidRPr="00892D01" w:rsidRDefault="00661B70" w:rsidP="00661B70">
      <w:pPr>
        <w:pStyle w:val="Default"/>
        <w:spacing w:before="120" w:after="120"/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440"/>
        <w:gridCol w:w="1495"/>
        <w:gridCol w:w="1295"/>
        <w:gridCol w:w="1170"/>
        <w:gridCol w:w="1260"/>
      </w:tblGrid>
      <w:tr w:rsidR="00661B70" w:rsidRPr="00892D01" w:rsidTr="005B11CA">
        <w:tc>
          <w:tcPr>
            <w:tcW w:w="1440" w:type="dxa"/>
          </w:tcPr>
          <w:p w:rsidR="00661B70" w:rsidRPr="00892D01" w:rsidRDefault="00661B70" w:rsidP="00661B7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D01">
              <w:rPr>
                <w:rFonts w:ascii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495" w:type="dxa"/>
          </w:tcPr>
          <w:p w:rsidR="00661B70" w:rsidRPr="00892D01" w:rsidRDefault="00661B70" w:rsidP="00661B7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D01">
              <w:rPr>
                <w:rFonts w:ascii="Times New Roman" w:hAnsi="Times New Roman"/>
                <w:b/>
                <w:bCs/>
                <w:sz w:val="24"/>
                <w:szCs w:val="24"/>
              </w:rPr>
              <w:t>Total students</w:t>
            </w:r>
          </w:p>
        </w:tc>
        <w:tc>
          <w:tcPr>
            <w:tcW w:w="1295" w:type="dxa"/>
          </w:tcPr>
          <w:p w:rsidR="00661B70" w:rsidRPr="00892D01" w:rsidRDefault="00661B70" w:rsidP="00661B7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D01">
              <w:rPr>
                <w:rFonts w:ascii="Times New Roman" w:hAnsi="Times New Roman"/>
                <w:b/>
                <w:bCs/>
                <w:sz w:val="24"/>
                <w:szCs w:val="24"/>
              </w:rPr>
              <w:t>West</w:t>
            </w:r>
          </w:p>
        </w:tc>
        <w:tc>
          <w:tcPr>
            <w:tcW w:w="1170" w:type="dxa"/>
          </w:tcPr>
          <w:p w:rsidR="00661B70" w:rsidRPr="00892D01" w:rsidRDefault="00661B70" w:rsidP="00661B7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D01">
              <w:rPr>
                <w:rFonts w:ascii="Times New Roman" w:hAnsi="Times New Roman"/>
                <w:b/>
                <w:bCs/>
                <w:sz w:val="24"/>
                <w:szCs w:val="24"/>
              </w:rPr>
              <w:t>East</w:t>
            </w:r>
          </w:p>
        </w:tc>
        <w:tc>
          <w:tcPr>
            <w:tcW w:w="1260" w:type="dxa"/>
          </w:tcPr>
          <w:p w:rsidR="00661B70" w:rsidRPr="00892D01" w:rsidRDefault="00661B70" w:rsidP="00661B70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2D01">
              <w:rPr>
                <w:rFonts w:ascii="Times New Roman" w:hAnsi="Times New Roman"/>
                <w:b/>
                <w:bCs/>
                <w:sz w:val="24"/>
                <w:szCs w:val="24"/>
              </w:rPr>
              <w:t>North</w:t>
            </w:r>
          </w:p>
        </w:tc>
      </w:tr>
      <w:tr w:rsidR="00661B70" w:rsidRPr="004E2B48" w:rsidTr="005B11CA">
        <w:tc>
          <w:tcPr>
            <w:tcW w:w="144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7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61B70" w:rsidRPr="004E2B48" w:rsidTr="005B11CA">
        <w:tc>
          <w:tcPr>
            <w:tcW w:w="144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4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7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61B70" w:rsidRPr="004E2B48" w:rsidTr="005B11CA">
        <w:tc>
          <w:tcPr>
            <w:tcW w:w="144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4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61B70" w:rsidRPr="004E2B48" w:rsidTr="005B11CA">
        <w:tc>
          <w:tcPr>
            <w:tcW w:w="144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4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9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7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Pr="004E2B48" w:rsidRDefault="00661B70" w:rsidP="00661B70">
      <w:pPr>
        <w:spacing w:before="120" w:after="12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Present the data with the use of percentage component bar chart</w:t>
      </w:r>
      <w:r w:rsidRPr="004E2B4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[10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marks</w:t>
      </w:r>
      <w:r w:rsidRPr="004E2B48">
        <w:rPr>
          <w:rFonts w:ascii="Times New Roman" w:hAnsi="Times New Roman"/>
          <w:b/>
          <w:sz w:val="24"/>
          <w:szCs w:val="24"/>
        </w:rPr>
        <w:t>]</w:t>
      </w:r>
    </w:p>
    <w:p w:rsidR="00661B70" w:rsidRPr="004E2B48" w:rsidRDefault="00661B70" w:rsidP="00661B70">
      <w:pPr>
        <w:pStyle w:val="ListParagraph"/>
        <w:spacing w:before="120" w:after="12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661B70" w:rsidRPr="00892D01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The following shows lengths in centimeters of plants in a certain study: 13.5, 14.5,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B48">
        <w:rPr>
          <w:rFonts w:ascii="Times New Roman" w:hAnsi="Times New Roman"/>
          <w:sz w:val="24"/>
          <w:szCs w:val="24"/>
        </w:rPr>
        <w:t xml:space="preserve">4.8, 15.2 and 16.1. Calculate the geometric mean of the data.   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4E2B48">
        <w:rPr>
          <w:rFonts w:ascii="Times New Roman" w:hAnsi="Times New Roman"/>
          <w:b/>
          <w:bCs/>
          <w:sz w:val="24"/>
          <w:szCs w:val="24"/>
        </w:rPr>
        <w:t>[2 marks]</w:t>
      </w:r>
    </w:p>
    <w:p w:rsidR="00661B70" w:rsidRPr="004E2B48" w:rsidRDefault="00661B70" w:rsidP="00661B70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892D01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Clearly explain three qualities of a good measure of central tendency.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bCs/>
          <w:sz w:val="24"/>
          <w:szCs w:val="24"/>
        </w:rPr>
        <w:t>marks]</w:t>
      </w:r>
    </w:p>
    <w:p w:rsidR="00661B70" w:rsidRPr="00892D01" w:rsidRDefault="00661B70" w:rsidP="00661B70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892D01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City residents were surveyed recently to determine readership of newspapers available. 50% of the residents read the morning papers, 60% read the eveni</w:t>
      </w:r>
      <w:r>
        <w:rPr>
          <w:rFonts w:ascii="Times New Roman" w:hAnsi="Times New Roman"/>
          <w:sz w:val="24"/>
          <w:szCs w:val="24"/>
        </w:rPr>
        <w:t>ng papers and 20% read both news</w:t>
      </w:r>
      <w:r w:rsidRPr="004E2B48">
        <w:rPr>
          <w:rFonts w:ascii="Times New Roman" w:hAnsi="Times New Roman"/>
          <w:sz w:val="24"/>
          <w:szCs w:val="24"/>
        </w:rPr>
        <w:t>papers. Find the probability that a resident selected reads either the morning or evening paper or both the papers.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[4 marks]</w:t>
      </w:r>
    </w:p>
    <w:p w:rsidR="00661B70" w:rsidRPr="00892D01" w:rsidRDefault="00661B70" w:rsidP="00661B70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4E2B48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The following table shows the distribution wage earned by a number of employees of F.O.C. Construction Company in Lagos.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661B70" w:rsidRPr="004E2B48" w:rsidTr="005B11CA">
        <w:tc>
          <w:tcPr>
            <w:tcW w:w="1038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 xml:space="preserve">Wages </w:t>
            </w:r>
            <w:proofErr w:type="spellStart"/>
            <w:r w:rsidRPr="004E2B48">
              <w:rPr>
                <w:rFonts w:ascii="Times New Roman" w:hAnsi="Times New Roman"/>
                <w:sz w:val="24"/>
                <w:szCs w:val="24"/>
              </w:rPr>
              <w:t>Ksh</w:t>
            </w:r>
            <w:proofErr w:type="spellEnd"/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40-49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50-59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90-99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100-109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110-119</w:t>
            </w:r>
          </w:p>
        </w:tc>
      </w:tr>
      <w:tr w:rsidR="00661B70" w:rsidRPr="004E2B48" w:rsidTr="005B11CA">
        <w:tc>
          <w:tcPr>
            <w:tcW w:w="1038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No of employees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593609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2B48">
        <w:rPr>
          <w:rFonts w:ascii="Times New Roman" w:hAnsi="Times New Roman"/>
          <w:sz w:val="24"/>
          <w:szCs w:val="24"/>
        </w:rPr>
        <w:t xml:space="preserve">Find the standard deviation and variance using assumed mean of </w:t>
      </w:r>
      <w:proofErr w:type="spellStart"/>
      <w:r w:rsidRPr="004E2B48">
        <w:rPr>
          <w:rFonts w:ascii="Times New Roman" w:hAnsi="Times New Roman"/>
          <w:sz w:val="24"/>
          <w:szCs w:val="24"/>
        </w:rPr>
        <w:t>Ksh</w:t>
      </w:r>
      <w:proofErr w:type="spellEnd"/>
      <w:r w:rsidRPr="004E2B48">
        <w:rPr>
          <w:rFonts w:ascii="Times New Roman" w:hAnsi="Times New Roman"/>
          <w:sz w:val="24"/>
          <w:szCs w:val="24"/>
        </w:rPr>
        <w:t xml:space="preserve">. 74.50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[6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marks]</w:t>
      </w:r>
    </w:p>
    <w:p w:rsidR="00661B70" w:rsidRPr="004E2B48" w:rsidRDefault="00661B70" w:rsidP="00661B70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4E2B48" w:rsidRDefault="00661B70" w:rsidP="00661B70">
      <w:pPr>
        <w:pStyle w:val="ListParagraph"/>
        <w:numPr>
          <w:ilvl w:val="0"/>
          <w:numId w:val="9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Determine the co-efficient of variation from (b) above.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E2B48">
        <w:rPr>
          <w:rFonts w:ascii="Times New Roman" w:hAnsi="Times New Roman"/>
          <w:b/>
          <w:sz w:val="24"/>
          <w:szCs w:val="24"/>
        </w:rPr>
        <w:t>[2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marks]</w:t>
      </w: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B48">
        <w:rPr>
          <w:rFonts w:ascii="Times New Roman" w:hAnsi="Times New Roman"/>
          <w:b/>
          <w:bCs/>
          <w:sz w:val="24"/>
          <w:szCs w:val="24"/>
        </w:rPr>
        <w:t>QUESTION TWO</w:t>
      </w:r>
    </w:p>
    <w:p w:rsidR="00661B70" w:rsidRPr="004E2B48" w:rsidRDefault="00661B70" w:rsidP="00661B70">
      <w:pPr>
        <w:pStyle w:val="ListParagraph"/>
        <w:numPr>
          <w:ilvl w:val="0"/>
          <w:numId w:val="8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Distinguish between dependents events and complementary events as used in probability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2B48">
        <w:rPr>
          <w:rFonts w:ascii="Times New Roman" w:hAnsi="Times New Roman"/>
          <w:b/>
          <w:bCs/>
          <w:sz w:val="24"/>
          <w:szCs w:val="24"/>
        </w:rPr>
        <w:t>[2 marks]</w:t>
      </w:r>
    </w:p>
    <w:p w:rsidR="00661B70" w:rsidRPr="004E2B48" w:rsidRDefault="00661B70" w:rsidP="00661B70">
      <w:pPr>
        <w:pStyle w:val="Default"/>
        <w:numPr>
          <w:ilvl w:val="0"/>
          <w:numId w:val="8"/>
        </w:numPr>
        <w:spacing w:before="120" w:after="120"/>
      </w:pPr>
      <w:r w:rsidRPr="004E2B48">
        <w:t>The table below shows the price and quantity of oil bought at a black market.</w:t>
      </w:r>
    </w:p>
    <w:p w:rsidR="00661B70" w:rsidRPr="004E2B48" w:rsidRDefault="00661B70" w:rsidP="00661B70">
      <w:pPr>
        <w:pStyle w:val="Default"/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661B70" w:rsidRPr="004E2B48" w:rsidTr="005B11CA"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</w:p>
        </w:tc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1992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1992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1993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1993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1994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1994</w:t>
            </w:r>
          </w:p>
        </w:tc>
      </w:tr>
      <w:tr w:rsidR="00661B70" w:rsidRPr="004E2B48" w:rsidTr="005B11CA"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</w:p>
        </w:tc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 xml:space="preserve">Price </w:t>
            </w:r>
            <w:proofErr w:type="spellStart"/>
            <w:r w:rsidRPr="004E2B48">
              <w:t>Ksh</w:t>
            </w:r>
            <w:proofErr w:type="spellEnd"/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 xml:space="preserve">Quantity 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 xml:space="preserve">Price </w:t>
            </w:r>
            <w:proofErr w:type="spellStart"/>
            <w:r w:rsidRPr="004E2B48">
              <w:t>ksh</w:t>
            </w:r>
            <w:proofErr w:type="spellEnd"/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 xml:space="preserve">Quantity 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 xml:space="preserve">Price </w:t>
            </w:r>
            <w:proofErr w:type="spellStart"/>
            <w:r w:rsidRPr="004E2B48">
              <w:t>ksh</w:t>
            </w:r>
            <w:proofErr w:type="spellEnd"/>
            <w:r w:rsidRPr="004E2B48">
              <w:t xml:space="preserve"> 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 xml:space="preserve">Quantity </w:t>
            </w:r>
          </w:p>
        </w:tc>
      </w:tr>
      <w:tr w:rsidR="00661B70" w:rsidRPr="004E2B48" w:rsidTr="005B11CA"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Diesel</w:t>
            </w:r>
          </w:p>
        </w:tc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35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100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40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90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52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130</w:t>
            </w:r>
          </w:p>
        </w:tc>
      </w:tr>
      <w:tr w:rsidR="00661B70" w:rsidRPr="004E2B48" w:rsidTr="005B11CA"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Petrol</w:t>
            </w:r>
          </w:p>
        </w:tc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40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120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55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85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60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100</w:t>
            </w:r>
          </w:p>
        </w:tc>
      </w:tr>
      <w:tr w:rsidR="00661B70" w:rsidRPr="004E2B48" w:rsidTr="005B11CA"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Engine oil</w:t>
            </w:r>
          </w:p>
        </w:tc>
        <w:tc>
          <w:tcPr>
            <w:tcW w:w="1335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55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130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140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95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200</w:t>
            </w:r>
          </w:p>
        </w:tc>
        <w:tc>
          <w:tcPr>
            <w:tcW w:w="1336" w:type="dxa"/>
          </w:tcPr>
          <w:p w:rsidR="00661B70" w:rsidRPr="004E2B48" w:rsidRDefault="00661B70" w:rsidP="00661B70">
            <w:pPr>
              <w:pStyle w:val="Default"/>
              <w:spacing w:before="120" w:after="120"/>
            </w:pPr>
            <w:r w:rsidRPr="004E2B48">
              <w:t>80</w:t>
            </w:r>
          </w:p>
        </w:tc>
      </w:tr>
    </w:tbl>
    <w:p w:rsidR="00661B70" w:rsidRPr="004E2B48" w:rsidRDefault="00661B70" w:rsidP="00661B70">
      <w:pPr>
        <w:pStyle w:val="Default"/>
        <w:spacing w:before="120" w:after="120"/>
      </w:pPr>
    </w:p>
    <w:p w:rsidR="00661B70" w:rsidRPr="004E2B48" w:rsidRDefault="00661B70" w:rsidP="00661B70">
      <w:pPr>
        <w:pStyle w:val="Default"/>
        <w:spacing w:before="120" w:after="120"/>
      </w:pPr>
      <w:r w:rsidRPr="004E2B48">
        <w:t xml:space="preserve">Calculate the weighted price index for 1993 and 1994 using 1992 as the base </w:t>
      </w:r>
      <w:proofErr w:type="gramStart"/>
      <w:r w:rsidRPr="004E2B48">
        <w:t>year  using</w:t>
      </w:r>
      <w:proofErr w:type="gramEnd"/>
      <w:r w:rsidRPr="004E2B48">
        <w:t>:</w:t>
      </w:r>
    </w:p>
    <w:p w:rsidR="00661B70" w:rsidRPr="004E2B48" w:rsidRDefault="00661B70" w:rsidP="00661B70">
      <w:pPr>
        <w:pStyle w:val="Default"/>
        <w:numPr>
          <w:ilvl w:val="0"/>
          <w:numId w:val="11"/>
        </w:numPr>
        <w:spacing w:before="120" w:after="120"/>
      </w:pPr>
      <w:r w:rsidRPr="004E2B48">
        <w:t xml:space="preserve">The </w:t>
      </w:r>
      <w:proofErr w:type="spellStart"/>
      <w:r w:rsidRPr="004E2B48">
        <w:t>Laspeyre’s</w:t>
      </w:r>
      <w:proofErr w:type="spellEnd"/>
      <w:r w:rsidRPr="004E2B48">
        <w:t xml:space="preserve"> price index                                                                               </w:t>
      </w:r>
      <w:r>
        <w:tab/>
      </w:r>
      <w:r>
        <w:tab/>
        <w:t xml:space="preserve">         </w:t>
      </w:r>
      <w:r w:rsidRPr="004E2B48">
        <w:rPr>
          <w:b/>
        </w:rPr>
        <w:t>[6</w:t>
      </w:r>
      <w:r>
        <w:rPr>
          <w:b/>
        </w:rPr>
        <w:t xml:space="preserve"> </w:t>
      </w:r>
      <w:r w:rsidRPr="004E2B48">
        <w:rPr>
          <w:b/>
        </w:rPr>
        <w:t>marks]</w:t>
      </w:r>
    </w:p>
    <w:p w:rsidR="00661B70" w:rsidRPr="004E2B48" w:rsidRDefault="00661B70" w:rsidP="00661B70">
      <w:pPr>
        <w:pStyle w:val="Default"/>
        <w:spacing w:before="120" w:after="120"/>
      </w:pPr>
      <w:r w:rsidRPr="004E2B48">
        <w:t xml:space="preserve">(b) The </w:t>
      </w:r>
      <w:proofErr w:type="spellStart"/>
      <w:r w:rsidRPr="004E2B48">
        <w:t>Paasche’s</w:t>
      </w:r>
      <w:proofErr w:type="spellEnd"/>
      <w:r w:rsidRPr="004E2B48">
        <w:t xml:space="preserve"> price index                                                                                 </w:t>
      </w:r>
      <w:r>
        <w:tab/>
      </w:r>
      <w:r>
        <w:tab/>
        <w:t xml:space="preserve">        </w:t>
      </w:r>
      <w:r w:rsidRPr="004E2B48">
        <w:t xml:space="preserve"> </w:t>
      </w:r>
      <w:r w:rsidRPr="004E2B48">
        <w:rPr>
          <w:b/>
        </w:rPr>
        <w:t>[6</w:t>
      </w:r>
      <w:r>
        <w:rPr>
          <w:b/>
        </w:rPr>
        <w:t xml:space="preserve"> </w:t>
      </w:r>
      <w:r w:rsidRPr="004E2B48">
        <w:rPr>
          <w:b/>
        </w:rPr>
        <w:t>marks]</w:t>
      </w:r>
    </w:p>
    <w:p w:rsidR="00661B70" w:rsidRPr="007D6009" w:rsidRDefault="00661B70" w:rsidP="00661B70">
      <w:pPr>
        <w:pStyle w:val="Default"/>
        <w:spacing w:before="120" w:after="120"/>
      </w:pPr>
      <w:r w:rsidRPr="004E2B48">
        <w:t>(c) The Fisher’s Ideal Price Index</w:t>
      </w:r>
      <w:r w:rsidRPr="004E2B48">
        <w:rPr>
          <w:b/>
        </w:rPr>
        <w:t xml:space="preserve">.    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Pr="004E2B48">
        <w:rPr>
          <w:b/>
        </w:rPr>
        <w:t>[6</w:t>
      </w:r>
      <w:r>
        <w:rPr>
          <w:b/>
        </w:rPr>
        <w:t xml:space="preserve"> </w:t>
      </w:r>
      <w:r w:rsidRPr="004E2B48">
        <w:rPr>
          <w:b/>
        </w:rPr>
        <w:t>marks]</w:t>
      </w: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B48">
        <w:rPr>
          <w:rFonts w:ascii="Times New Roman" w:hAnsi="Times New Roman"/>
          <w:b/>
          <w:bCs/>
          <w:sz w:val="24"/>
          <w:szCs w:val="24"/>
        </w:rPr>
        <w:t>QUESTION THREE</w:t>
      </w:r>
    </w:p>
    <w:p w:rsidR="00661B70" w:rsidRPr="004E2B48" w:rsidRDefault="00661B70" w:rsidP="00661B70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Outline the steps involved statistical enquiry.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sz w:val="24"/>
          <w:szCs w:val="24"/>
        </w:rPr>
        <w:t>[8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marks]</w:t>
      </w:r>
      <w:r w:rsidRPr="004E2B48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(b)The weight of fifty pieces of iron rods was tabulated as shown in the following table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329"/>
        <w:gridCol w:w="1546"/>
        <w:gridCol w:w="1546"/>
        <w:gridCol w:w="1546"/>
        <w:gridCol w:w="1546"/>
        <w:gridCol w:w="1546"/>
      </w:tblGrid>
      <w:tr w:rsidR="00661B70" w:rsidRPr="004E2B48" w:rsidTr="005B11CA">
        <w:trPr>
          <w:trHeight w:val="618"/>
        </w:trPr>
        <w:tc>
          <w:tcPr>
            <w:tcW w:w="132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 xml:space="preserve">Weight 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</w:tr>
      <w:tr w:rsidR="00661B70" w:rsidRPr="004E2B48" w:rsidTr="005B11CA">
        <w:trPr>
          <w:trHeight w:val="726"/>
        </w:trPr>
        <w:tc>
          <w:tcPr>
            <w:tcW w:w="1329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frequency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From the table, compute the:</w:t>
      </w:r>
    </w:p>
    <w:p w:rsidR="00661B70" w:rsidRPr="004E2B48" w:rsidRDefault="00661B70" w:rsidP="00661B7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Middle weight                                                                                               </w:t>
      </w:r>
      <w:r w:rsidRPr="004E2B48"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Upper quartile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Lower quartile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7</w:t>
      </w:r>
      <w:r w:rsidRPr="004E2B48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proofErr w:type="spellStart"/>
      <w:r w:rsidRPr="004E2B48">
        <w:rPr>
          <w:rFonts w:ascii="Times New Roman" w:hAnsi="Times New Roman"/>
          <w:sz w:val="24"/>
          <w:szCs w:val="24"/>
        </w:rPr>
        <w:t>Decile</w:t>
      </w:r>
      <w:proofErr w:type="spellEnd"/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B48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661B70" w:rsidRPr="004E2B48" w:rsidRDefault="00661B70" w:rsidP="00661B70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Highlight any three uses of index numbers</w:t>
      </w:r>
      <w:r w:rsidRPr="004E2B48">
        <w:rPr>
          <w:rFonts w:ascii="Times New Roman" w:hAnsi="Times New Roman"/>
          <w:b/>
          <w:sz w:val="24"/>
          <w:szCs w:val="24"/>
        </w:rPr>
        <w:t>:                                                                       [3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marks]</w:t>
      </w:r>
    </w:p>
    <w:p w:rsidR="00661B70" w:rsidRPr="004E2B48" w:rsidRDefault="00661B70" w:rsidP="00661B70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The following data shows the masses of pigs in a certain farm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278"/>
        <w:gridCol w:w="900"/>
        <w:gridCol w:w="810"/>
        <w:gridCol w:w="810"/>
        <w:gridCol w:w="810"/>
        <w:gridCol w:w="810"/>
        <w:gridCol w:w="810"/>
        <w:gridCol w:w="900"/>
        <w:gridCol w:w="900"/>
        <w:gridCol w:w="900"/>
        <w:gridCol w:w="1170"/>
      </w:tblGrid>
      <w:tr w:rsidR="00661B70" w:rsidRPr="004E2B48" w:rsidTr="005B11CA">
        <w:tc>
          <w:tcPr>
            <w:tcW w:w="1278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 xml:space="preserve">Mass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E2B48">
              <w:rPr>
                <w:rFonts w:ascii="Times New Roman" w:hAnsi="Times New Roman"/>
                <w:sz w:val="24"/>
                <w:szCs w:val="24"/>
              </w:rPr>
              <w:t>kg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21-30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51-60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61-60</w:t>
            </w:r>
          </w:p>
        </w:tc>
        <w:tc>
          <w:tcPr>
            <w:tcW w:w="90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71-80</w:t>
            </w:r>
          </w:p>
        </w:tc>
        <w:tc>
          <w:tcPr>
            <w:tcW w:w="90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81-90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91-100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101-110</w:t>
            </w:r>
          </w:p>
        </w:tc>
      </w:tr>
      <w:tr w:rsidR="00661B70" w:rsidRPr="004E2B48" w:rsidTr="005B11CA">
        <w:tc>
          <w:tcPr>
            <w:tcW w:w="1278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No. of pigs</w:t>
            </w:r>
          </w:p>
        </w:tc>
        <w:tc>
          <w:tcPr>
            <w:tcW w:w="90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1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From the table;</w:t>
      </w:r>
    </w:p>
    <w:p w:rsidR="00661B70" w:rsidRPr="004E2B48" w:rsidRDefault="00661B70" w:rsidP="00661B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Prepare a frequency distribution table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pStyle w:val="ListParagraph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 </w:t>
      </w:r>
    </w:p>
    <w:p w:rsidR="00661B70" w:rsidRPr="004E2B48" w:rsidRDefault="00661B70" w:rsidP="00661B7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Mean mass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[2 marks]</w:t>
      </w:r>
    </w:p>
    <w:p w:rsidR="00661B70" w:rsidRPr="004E2B48" w:rsidRDefault="00661B70" w:rsidP="00661B7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Mean absolute deviation 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Variance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pStyle w:val="ListParagraph"/>
        <w:numPr>
          <w:ilvl w:val="0"/>
          <w:numId w:val="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Standard deviation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2B48">
        <w:rPr>
          <w:rFonts w:ascii="Times New Roman" w:hAnsi="Times New Roman"/>
          <w:b/>
          <w:bCs/>
          <w:sz w:val="24"/>
          <w:szCs w:val="24"/>
        </w:rPr>
        <w:t>QUESTION FIVE</w:t>
      </w:r>
    </w:p>
    <w:p w:rsidR="00661B70" w:rsidRPr="004E2B48" w:rsidRDefault="00661B70" w:rsidP="00661B7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Differentiate between universal set and disjoint set. 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b/>
          <w:bCs/>
          <w:sz w:val="24"/>
          <w:szCs w:val="24"/>
        </w:rPr>
        <w:tab/>
      </w:r>
      <w:r w:rsidRPr="004E2B48">
        <w:rPr>
          <w:rFonts w:ascii="Times New Roman" w:hAnsi="Times New Roman"/>
          <w:b/>
          <w:bCs/>
          <w:sz w:val="24"/>
          <w:szCs w:val="24"/>
        </w:rPr>
        <w:tab/>
      </w:r>
      <w:r w:rsidRPr="004E2B48">
        <w:rPr>
          <w:rFonts w:ascii="Times New Roman" w:hAnsi="Times New Roman"/>
          <w:b/>
          <w:bCs/>
          <w:sz w:val="24"/>
          <w:szCs w:val="24"/>
        </w:rPr>
        <w:tab/>
      </w:r>
      <w:r w:rsidRPr="004E2B48">
        <w:rPr>
          <w:rFonts w:ascii="Times New Roman" w:hAnsi="Times New Roman"/>
          <w:b/>
          <w:bCs/>
          <w:sz w:val="24"/>
          <w:szCs w:val="24"/>
        </w:rPr>
        <w:tab/>
        <w:t xml:space="preserve">         [3 marks]</w:t>
      </w:r>
    </w:p>
    <w:p w:rsidR="00661B70" w:rsidRPr="004E2B48" w:rsidRDefault="00661B70" w:rsidP="00661B7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Give the meaning of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4E2B48">
        <w:rPr>
          <w:rFonts w:ascii="Times New Roman" w:hAnsi="Times New Roman"/>
          <w:sz w:val="24"/>
          <w:szCs w:val="24"/>
        </w:rPr>
        <w:t>dependent variable</w:t>
      </w:r>
      <w:r w:rsidRPr="004E2B48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[</w:t>
      </w:r>
      <w:r w:rsidRPr="004E2B48">
        <w:rPr>
          <w:rFonts w:ascii="Times New Roman" w:hAnsi="Times New Roman"/>
          <w:b/>
          <w:bCs/>
          <w:sz w:val="24"/>
          <w:szCs w:val="24"/>
        </w:rPr>
        <w:t>2 marks]</w:t>
      </w:r>
    </w:p>
    <w:p w:rsidR="00661B70" w:rsidRPr="004E2B48" w:rsidRDefault="00661B70" w:rsidP="00661B7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Explain two main characteristics of standard deviation</w:t>
      </w:r>
      <w:r w:rsidRPr="004E2B48"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  <w:r w:rsidRPr="004E2B48">
        <w:rPr>
          <w:rFonts w:ascii="Times New Roman" w:hAnsi="Times New Roman"/>
          <w:b/>
          <w:bCs/>
          <w:sz w:val="24"/>
          <w:szCs w:val="24"/>
        </w:rPr>
        <w:t xml:space="preserve">[4 marks]                                               </w:t>
      </w:r>
    </w:p>
    <w:p w:rsidR="00661B70" w:rsidRPr="004E2B48" w:rsidRDefault="00661B70" w:rsidP="00661B7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>Clearly explain the content of axiomatic approach of probability</w:t>
      </w:r>
      <w:r w:rsidRPr="004E2B48">
        <w:rPr>
          <w:rFonts w:ascii="Times New Roman" w:hAnsi="Times New Roman"/>
          <w:b/>
          <w:bCs/>
          <w:sz w:val="24"/>
          <w:szCs w:val="24"/>
        </w:rPr>
        <w:tab/>
      </w:r>
      <w:r w:rsidRPr="004E2B48">
        <w:rPr>
          <w:rFonts w:ascii="Times New Roman" w:hAnsi="Times New Roman"/>
          <w:b/>
          <w:bCs/>
          <w:sz w:val="24"/>
          <w:szCs w:val="24"/>
        </w:rPr>
        <w:tab/>
        <w:t xml:space="preserve">                     [3 marks]</w:t>
      </w:r>
    </w:p>
    <w:p w:rsidR="00661B70" w:rsidRPr="004E2B48" w:rsidRDefault="00661B70" w:rsidP="00661B7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E2B48">
        <w:rPr>
          <w:rFonts w:ascii="Times New Roman" w:hAnsi="Times New Roman"/>
          <w:sz w:val="24"/>
          <w:szCs w:val="24"/>
        </w:rPr>
        <w:t xml:space="preserve">Discuss the limitations of use of arithmetic mean in statistics                      </w:t>
      </w:r>
      <w:r w:rsidRPr="004E2B48">
        <w:rPr>
          <w:rFonts w:ascii="Times New Roman" w:hAnsi="Times New Roman"/>
          <w:sz w:val="24"/>
          <w:szCs w:val="24"/>
        </w:rPr>
        <w:tab/>
      </w:r>
      <w:r w:rsidRPr="004E2B48">
        <w:rPr>
          <w:rFonts w:ascii="Times New Roman" w:hAnsi="Times New Roman"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bCs/>
          <w:sz w:val="24"/>
          <w:szCs w:val="24"/>
        </w:rPr>
        <w:t>[3 marks]</w:t>
      </w:r>
      <w:r w:rsidRPr="004E2B48">
        <w:rPr>
          <w:rFonts w:ascii="Times New Roman" w:hAnsi="Times New Roman"/>
          <w:b/>
          <w:sz w:val="24"/>
          <w:szCs w:val="24"/>
        </w:rPr>
        <w:t xml:space="preserve"> </w:t>
      </w:r>
    </w:p>
    <w:p w:rsidR="00661B70" w:rsidRPr="004E2B48" w:rsidRDefault="00661B70" w:rsidP="00661B70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</w:t>
      </w:r>
      <w:r w:rsidRPr="004E2B48">
        <w:rPr>
          <w:rFonts w:ascii="Times New Roman" w:hAnsi="Times New Roman"/>
          <w:sz w:val="24"/>
          <w:szCs w:val="24"/>
        </w:rPr>
        <w:t xml:space="preserve"> the table below, 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44"/>
        <w:gridCol w:w="1665"/>
      </w:tblGrid>
      <w:tr w:rsidR="00661B70" w:rsidRPr="004E2B48" w:rsidTr="005B11CA">
        <w:trPr>
          <w:trHeight w:val="525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Frequency (F)</w:t>
            </w:r>
          </w:p>
        </w:tc>
      </w:tr>
      <w:tr w:rsidR="00661B70" w:rsidRPr="004E2B48" w:rsidTr="005B11CA">
        <w:trPr>
          <w:trHeight w:val="525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1B70" w:rsidRPr="004E2B48" w:rsidTr="005B11CA">
        <w:trPr>
          <w:trHeight w:val="525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61B70" w:rsidRPr="004E2B48" w:rsidTr="005B11CA">
        <w:trPr>
          <w:trHeight w:val="525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1B70" w:rsidRPr="004E2B48" w:rsidTr="005B11CA">
        <w:trPr>
          <w:trHeight w:val="525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1B70" w:rsidRPr="004E2B48" w:rsidTr="005B11CA">
        <w:trPr>
          <w:trHeight w:val="525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1B70" w:rsidRPr="004E2B48" w:rsidTr="005B11CA">
        <w:trPr>
          <w:trHeight w:val="513"/>
        </w:trPr>
        <w:tc>
          <w:tcPr>
            <w:tcW w:w="1944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65" w:type="dxa"/>
          </w:tcPr>
          <w:p w:rsidR="00661B70" w:rsidRPr="004E2B48" w:rsidRDefault="00661B70" w:rsidP="00661B7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B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61B70" w:rsidRPr="004E2B48" w:rsidRDefault="00661B70" w:rsidP="00661B70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661B70" w:rsidRPr="004E2B48" w:rsidRDefault="00661B70" w:rsidP="00661B70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Using</w:t>
      </w:r>
      <w:r w:rsidRPr="004E2B48">
        <w:rPr>
          <w:rFonts w:ascii="Times New Roman" w:hAnsi="Times New Roman"/>
          <w:sz w:val="24"/>
          <w:szCs w:val="24"/>
        </w:rPr>
        <w:t xml:space="preserve"> 40 as </w:t>
      </w:r>
      <w:r>
        <w:rPr>
          <w:rFonts w:ascii="Times New Roman" w:hAnsi="Times New Roman"/>
          <w:sz w:val="24"/>
          <w:szCs w:val="24"/>
        </w:rPr>
        <w:t>t</w:t>
      </w:r>
      <w:r w:rsidRPr="004E2B48">
        <w:rPr>
          <w:rFonts w:ascii="Times New Roman" w:hAnsi="Times New Roman"/>
          <w:sz w:val="24"/>
          <w:szCs w:val="24"/>
        </w:rPr>
        <w:t>he assumed mean to obtain the actual mean</w:t>
      </w:r>
      <w:r>
        <w:rPr>
          <w:rFonts w:ascii="Times New Roman" w:hAnsi="Times New Roman"/>
          <w:sz w:val="24"/>
          <w:szCs w:val="24"/>
        </w:rPr>
        <w:t xml:space="preserve"> of X</w:t>
      </w:r>
      <w:r w:rsidRPr="004E2B48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E2B48">
        <w:rPr>
          <w:rFonts w:ascii="Times New Roman" w:hAnsi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Pr="004E2B48">
        <w:rPr>
          <w:rFonts w:ascii="Times New Roman" w:hAnsi="Times New Roman"/>
          <w:b/>
          <w:sz w:val="24"/>
          <w:szCs w:val="24"/>
        </w:rPr>
        <w:t>[5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2B48">
        <w:rPr>
          <w:rFonts w:ascii="Times New Roman" w:hAnsi="Times New Roman"/>
          <w:b/>
          <w:sz w:val="24"/>
          <w:szCs w:val="24"/>
        </w:rPr>
        <w:t>marks]</w:t>
      </w:r>
    </w:p>
    <w:p w:rsidR="00661B70" w:rsidRPr="00A66D20" w:rsidRDefault="00661B70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661B70" w:rsidRPr="00A66D20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EF" w:rsidRDefault="00455BEF">
      <w:pPr>
        <w:spacing w:after="0" w:line="240" w:lineRule="auto"/>
      </w:pPr>
      <w:r>
        <w:separator/>
      </w:r>
    </w:p>
  </w:endnote>
  <w:endnote w:type="continuationSeparator" w:id="0">
    <w:p w:rsidR="00455BEF" w:rsidRDefault="0045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661B70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455BEF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55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EF" w:rsidRDefault="00455BEF">
      <w:pPr>
        <w:spacing w:after="0" w:line="240" w:lineRule="auto"/>
      </w:pPr>
      <w:r>
        <w:separator/>
      </w:r>
    </w:p>
  </w:footnote>
  <w:footnote w:type="continuationSeparator" w:id="0">
    <w:p w:rsidR="00455BEF" w:rsidRDefault="0045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55B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55B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83955"/>
    <w:multiLevelType w:val="hybridMultilevel"/>
    <w:tmpl w:val="A47CD60E"/>
    <w:lvl w:ilvl="0" w:tplc="C9E875B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2B2175"/>
    <w:multiLevelType w:val="hybridMultilevel"/>
    <w:tmpl w:val="826E535A"/>
    <w:lvl w:ilvl="0" w:tplc="0409001B">
      <w:start w:val="1"/>
      <w:numFmt w:val="lowerRoman"/>
      <w:lvlText w:val="%1."/>
      <w:lvlJc w:val="righ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C84D31"/>
    <w:multiLevelType w:val="hybridMultilevel"/>
    <w:tmpl w:val="43EC3A96"/>
    <w:lvl w:ilvl="0" w:tplc="D62610DC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EA32290"/>
    <w:multiLevelType w:val="hybridMultilevel"/>
    <w:tmpl w:val="E19A65A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22B27"/>
    <w:multiLevelType w:val="hybridMultilevel"/>
    <w:tmpl w:val="7774FE1C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25C79"/>
    <w:multiLevelType w:val="hybridMultilevel"/>
    <w:tmpl w:val="99FE52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352EE"/>
    <w:multiLevelType w:val="hybridMultilevel"/>
    <w:tmpl w:val="6BE6ECB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3866D0"/>
    <w:multiLevelType w:val="hybridMultilevel"/>
    <w:tmpl w:val="1ABA977E"/>
    <w:lvl w:ilvl="0" w:tplc="F00ECBCE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>
    <w:nsid w:val="59D46804"/>
    <w:multiLevelType w:val="hybridMultilevel"/>
    <w:tmpl w:val="4328B638"/>
    <w:lvl w:ilvl="0" w:tplc="04C698C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64466"/>
    <w:multiLevelType w:val="hybridMultilevel"/>
    <w:tmpl w:val="9D925226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695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55BE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1B70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4F18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661B70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54A3-EA08-474E-AEBE-CC9983441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2020-12-10T13:23:00Z</dcterms:modified>
</cp:coreProperties>
</file>