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595188">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95188">
        <w:rPr>
          <w:rFonts w:ascii="Arial" w:hAnsi="Arial" w:cs="Arial"/>
          <w:b/>
          <w:sz w:val="24"/>
          <w:szCs w:val="24"/>
        </w:rPr>
        <w:t>BBM 401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595188" w:rsidRPr="00595188" w:rsidRDefault="00E16478" w:rsidP="00595188">
      <w:pPr>
        <w:spacing w:after="0" w:line="360" w:lineRule="auto"/>
        <w:rPr>
          <w:rFonts w:ascii="Arial" w:hAnsi="Arial" w:cs="Arial"/>
          <w:b/>
          <w:sz w:val="24"/>
          <w:szCs w:val="24"/>
        </w:rPr>
      </w:pPr>
      <w:r>
        <w:rPr>
          <w:rFonts w:ascii="Arial" w:hAnsi="Arial" w:cs="Arial"/>
          <w:b/>
          <w:sz w:val="24"/>
          <w:szCs w:val="24"/>
        </w:rPr>
        <w:t xml:space="preserve">COURSE TITLE: </w:t>
      </w:r>
      <w:r w:rsidR="00595188" w:rsidRPr="00595188">
        <w:rPr>
          <w:rFonts w:ascii="Arial" w:hAnsi="Arial" w:cs="Arial"/>
          <w:b/>
          <w:sz w:val="24"/>
          <w:szCs w:val="24"/>
        </w:rPr>
        <w:t>TAXATION II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595188">
        <w:rPr>
          <w:rFonts w:ascii="Tahoma" w:hAnsi="Tahoma" w:cs="Tahoma"/>
          <w:b/>
          <w:sz w:val="28"/>
          <w:szCs w:val="28"/>
        </w:rPr>
        <w:t>9</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7B5B7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8B784B">
        <w:rPr>
          <w:b/>
          <w:bCs/>
          <w:sz w:val="24"/>
          <w:szCs w:val="24"/>
        </w:rPr>
        <w:t>FIVE</w:t>
      </w:r>
      <w:r>
        <w:rPr>
          <w:b/>
          <w:bCs/>
          <w:sz w:val="24"/>
          <w:szCs w:val="24"/>
        </w:rPr>
        <w:t xml:space="preserve"> (</w:t>
      </w:r>
      <w:r w:rsidR="008B784B">
        <w:rPr>
          <w:b/>
          <w:bCs/>
          <w:sz w:val="24"/>
          <w:szCs w:val="24"/>
        </w:rPr>
        <w:t>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595188" w:rsidRPr="00595188" w:rsidRDefault="00595188" w:rsidP="00595188">
      <w:pPr>
        <w:pStyle w:val="ListParagraph"/>
        <w:numPr>
          <w:ilvl w:val="0"/>
          <w:numId w:val="17"/>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With proper planning an individual can reduce his tax liability. Briefly discuss any five ways that can be adopted to avoid tax or reduce gross tax liability of an individual.               </w:t>
      </w:r>
      <w:r w:rsidRPr="00595188">
        <w:rPr>
          <w:rFonts w:ascii="Times New Roman" w:eastAsiaTheme="minorHAnsi" w:hAnsi="Times New Roman"/>
          <w:b/>
          <w:sz w:val="24"/>
          <w:szCs w:val="24"/>
        </w:rPr>
        <w:t>(10marks)</w:t>
      </w:r>
    </w:p>
    <w:p w:rsidR="00595188" w:rsidRPr="00595188" w:rsidRDefault="00595188" w:rsidP="00595188">
      <w:pPr>
        <w:pStyle w:val="ListParagraph"/>
        <w:numPr>
          <w:ilvl w:val="0"/>
          <w:numId w:val="17"/>
        </w:numPr>
        <w:spacing w:after="0"/>
        <w:rPr>
          <w:rFonts w:ascii="Times New Roman" w:eastAsiaTheme="minorHAnsi" w:hAnsi="Times New Roman"/>
          <w:sz w:val="24"/>
          <w:szCs w:val="24"/>
        </w:rPr>
      </w:pPr>
      <w:r w:rsidRPr="00595188">
        <w:rPr>
          <w:rFonts w:ascii="Times New Roman" w:eastAsiaTheme="minorHAnsi" w:hAnsi="Times New Roman"/>
          <w:sz w:val="24"/>
          <w:szCs w:val="24"/>
        </w:rPr>
        <w:t>The management of Gulf Bank Ltd has provided the following income statement for the year ended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December 2020.                                                          </w:t>
      </w:r>
    </w:p>
    <w:tbl>
      <w:tblPr>
        <w:tblStyle w:val="TableGrid"/>
        <w:tblW w:w="0" w:type="auto"/>
        <w:tblLook w:val="04A0" w:firstRow="1" w:lastRow="0" w:firstColumn="1" w:lastColumn="0" w:noHBand="0" w:noVBand="1"/>
      </w:tblPr>
      <w:tblGrid>
        <w:gridCol w:w="5670"/>
        <w:gridCol w:w="1098"/>
        <w:gridCol w:w="996"/>
        <w:gridCol w:w="1260"/>
      </w:tblGrid>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b/>
                <w:sz w:val="24"/>
                <w:szCs w:val="24"/>
              </w:rPr>
            </w:pPr>
            <w:r w:rsidRPr="00595188">
              <w:rPr>
                <w:rFonts w:ascii="Times New Roman" w:eastAsiaTheme="minorHAnsi" w:hAnsi="Times New Roman"/>
                <w:b/>
                <w:sz w:val="24"/>
                <w:szCs w:val="24"/>
              </w:rPr>
              <w:t xml:space="preserve">Income </w:t>
            </w:r>
          </w:p>
        </w:tc>
        <w:tc>
          <w:tcPr>
            <w:tcW w:w="1098"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Shs (000)</w:t>
            </w:r>
          </w:p>
        </w:tc>
        <w:tc>
          <w:tcPr>
            <w:tcW w:w="996"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 xml:space="preserve">Shs. (000)              </w:t>
            </w:r>
          </w:p>
        </w:tc>
        <w:tc>
          <w:tcPr>
            <w:tcW w:w="1260"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Shs.</w:t>
            </w:r>
          </w:p>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 xml:space="preserve"> (000)</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Interest on loans and advances to customers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54,080</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Interest on government securities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12,060</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Interest on placements with other banks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4,065</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Fees and commission income</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3,936</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Rental income</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219</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Income from foreign exchange dealings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3,198</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Gain on disposal of property and equipment</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1,230</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Other operating income</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4,295</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b/>
                <w:sz w:val="24"/>
                <w:szCs w:val="24"/>
              </w:rPr>
            </w:pPr>
            <w:r w:rsidRPr="00595188">
              <w:rPr>
                <w:rFonts w:ascii="Times New Roman" w:eastAsiaTheme="minorHAnsi" w:hAnsi="Times New Roman"/>
                <w:b/>
                <w:sz w:val="24"/>
                <w:szCs w:val="24"/>
              </w:rPr>
              <w:t>Total income</w:t>
            </w:r>
          </w:p>
        </w:tc>
        <w:tc>
          <w:tcPr>
            <w:tcW w:w="1098"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83,083</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b/>
                <w:sz w:val="24"/>
                <w:szCs w:val="24"/>
              </w:rPr>
            </w:pPr>
            <w:r w:rsidRPr="00595188">
              <w:rPr>
                <w:rFonts w:ascii="Times New Roman" w:eastAsiaTheme="minorHAnsi" w:hAnsi="Times New Roman"/>
                <w:b/>
                <w:sz w:val="24"/>
                <w:szCs w:val="24"/>
              </w:rPr>
              <w:t xml:space="preserve">Expenses </w:t>
            </w:r>
          </w:p>
        </w:tc>
        <w:tc>
          <w:tcPr>
            <w:tcW w:w="1098"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b/>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Salaries and employee benefits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36,040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Occupancy expenses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2,035</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Deposit protection fund contributions </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1,236</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Depreciation expense</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4,370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Interest on customers deposits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20,245</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Interest on deposits from other banks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8,020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Directors emoluments: Fees</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                                   : Others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1,120</w:t>
            </w:r>
          </w:p>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360</w:t>
            </w: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1,480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Auditors remuneration: Current year</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                                    : Under provision for previous year           </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210</w:t>
            </w:r>
          </w:p>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30</w:t>
            </w: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p>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240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Operating lease rental</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1,630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Loss on disposal of equipment</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725</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Other administrative expenses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2,062</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Provision for bad and doubtful debts</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8,050</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Provision for interest suspense</w:t>
            </w:r>
          </w:p>
        </w:tc>
        <w:tc>
          <w:tcPr>
            <w:tcW w:w="1098" w:type="dxa"/>
          </w:tcPr>
          <w:p w:rsidR="00595188" w:rsidRPr="00595188" w:rsidRDefault="00595188" w:rsidP="008B784B">
            <w:pPr>
              <w:spacing w:after="0" w:line="240" w:lineRule="auto"/>
              <w:jc w:val="right"/>
              <w:rPr>
                <w:rFonts w:ascii="Times New Roman" w:eastAsiaTheme="minorHAnsi" w:hAnsi="Times New Roman"/>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2,095</w:t>
            </w:r>
          </w:p>
        </w:tc>
        <w:tc>
          <w:tcPr>
            <w:tcW w:w="1260" w:type="dxa"/>
          </w:tcPr>
          <w:p w:rsidR="00595188" w:rsidRPr="00595188" w:rsidRDefault="00595188" w:rsidP="008B784B">
            <w:pPr>
              <w:spacing w:after="0" w:line="240" w:lineRule="auto"/>
              <w:jc w:val="right"/>
              <w:rPr>
                <w:rFonts w:ascii="Times New Roman" w:eastAsiaTheme="minorHAnsi" w:hAnsi="Times New Roman"/>
                <w:sz w:val="24"/>
                <w:szCs w:val="24"/>
              </w:rPr>
            </w:pP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b/>
                <w:sz w:val="24"/>
                <w:szCs w:val="24"/>
              </w:rPr>
            </w:pPr>
            <w:r w:rsidRPr="00595188">
              <w:rPr>
                <w:rFonts w:ascii="Times New Roman" w:eastAsiaTheme="minorHAnsi" w:hAnsi="Times New Roman"/>
                <w:b/>
                <w:sz w:val="24"/>
                <w:szCs w:val="24"/>
              </w:rPr>
              <w:t>Total expenses</w:t>
            </w:r>
          </w:p>
        </w:tc>
        <w:tc>
          <w:tcPr>
            <w:tcW w:w="1098"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88,228</w:t>
            </w:r>
          </w:p>
        </w:tc>
      </w:tr>
      <w:tr w:rsidR="00595188" w:rsidRPr="00595188" w:rsidTr="008A4916">
        <w:tc>
          <w:tcPr>
            <w:tcW w:w="5670" w:type="dxa"/>
          </w:tcPr>
          <w:p w:rsidR="00595188" w:rsidRPr="00595188" w:rsidRDefault="00595188" w:rsidP="008B784B">
            <w:pPr>
              <w:spacing w:after="0" w:line="240" w:lineRule="auto"/>
              <w:rPr>
                <w:rFonts w:ascii="Times New Roman" w:eastAsiaTheme="minorHAnsi" w:hAnsi="Times New Roman"/>
                <w:b/>
                <w:sz w:val="24"/>
                <w:szCs w:val="24"/>
              </w:rPr>
            </w:pPr>
            <w:r w:rsidRPr="00595188">
              <w:rPr>
                <w:rFonts w:ascii="Times New Roman" w:eastAsiaTheme="minorHAnsi" w:hAnsi="Times New Roman"/>
                <w:b/>
                <w:sz w:val="24"/>
                <w:szCs w:val="24"/>
              </w:rPr>
              <w:t>Loss for the year</w:t>
            </w:r>
          </w:p>
        </w:tc>
        <w:tc>
          <w:tcPr>
            <w:tcW w:w="1098"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996" w:type="dxa"/>
          </w:tcPr>
          <w:p w:rsidR="00595188" w:rsidRPr="00595188" w:rsidRDefault="00595188" w:rsidP="008B784B">
            <w:pPr>
              <w:spacing w:after="0" w:line="240" w:lineRule="auto"/>
              <w:jc w:val="right"/>
              <w:rPr>
                <w:rFonts w:ascii="Times New Roman" w:eastAsiaTheme="minorHAnsi" w:hAnsi="Times New Roman"/>
                <w:b/>
                <w:sz w:val="24"/>
                <w:szCs w:val="24"/>
              </w:rPr>
            </w:pPr>
          </w:p>
        </w:tc>
        <w:tc>
          <w:tcPr>
            <w:tcW w:w="1260"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(5,145)</w:t>
            </w:r>
          </w:p>
        </w:tc>
      </w:tr>
    </w:tbl>
    <w:p w:rsidR="00595188" w:rsidRPr="00595188" w:rsidRDefault="00595188" w:rsidP="00595188">
      <w:pPr>
        <w:spacing w:after="0"/>
        <w:rPr>
          <w:rFonts w:ascii="Times New Roman" w:eastAsiaTheme="minorHAnsi" w:hAnsi="Times New Roman"/>
          <w:sz w:val="24"/>
          <w:szCs w:val="24"/>
        </w:rPr>
      </w:pPr>
    </w:p>
    <w:p w:rsidR="00595188" w:rsidRPr="00595188" w:rsidRDefault="00595188" w:rsidP="00595188">
      <w:pPr>
        <w:spacing w:after="0"/>
        <w:rPr>
          <w:rFonts w:ascii="Times New Roman" w:eastAsiaTheme="minorHAnsi" w:hAnsi="Times New Roman"/>
          <w:b/>
          <w:sz w:val="24"/>
          <w:szCs w:val="24"/>
        </w:rPr>
      </w:pPr>
      <w:r w:rsidRPr="00595188">
        <w:rPr>
          <w:rFonts w:ascii="Times New Roman" w:eastAsiaTheme="minorHAnsi" w:hAnsi="Times New Roman"/>
          <w:b/>
          <w:sz w:val="24"/>
          <w:szCs w:val="24"/>
        </w:rPr>
        <w:t>Additional information</w:t>
      </w:r>
    </w:p>
    <w:p w:rsidR="00595188" w:rsidRPr="00595188" w:rsidRDefault="00595188" w:rsidP="00595188">
      <w:pPr>
        <w:numPr>
          <w:ilvl w:val="0"/>
          <w:numId w:val="3"/>
        </w:numPr>
        <w:spacing w:after="0"/>
        <w:rPr>
          <w:rFonts w:ascii="Times New Roman" w:eastAsiaTheme="minorHAnsi" w:hAnsi="Times New Roman"/>
          <w:sz w:val="24"/>
          <w:szCs w:val="24"/>
        </w:rPr>
      </w:pPr>
      <w:r w:rsidRPr="00595188">
        <w:rPr>
          <w:rFonts w:ascii="Times New Roman" w:eastAsiaTheme="minorHAnsi" w:hAnsi="Times New Roman"/>
          <w:sz w:val="24"/>
          <w:szCs w:val="24"/>
        </w:rPr>
        <w:t>Salaries and employee benefits comprise of:</w:t>
      </w:r>
    </w:p>
    <w:p w:rsidR="00595188" w:rsidRPr="00595188" w:rsidRDefault="00595188" w:rsidP="00595188">
      <w:p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sz w:val="24"/>
          <w:szCs w:val="24"/>
        </w:rPr>
        <w:tab/>
        <w:t xml:space="preserve">    Shs.(000)</w:t>
      </w:r>
    </w:p>
    <w:p w:rsidR="00595188" w:rsidRPr="00595188" w:rsidRDefault="00595188" w:rsidP="00595188">
      <w:pPr>
        <w:numPr>
          <w:ilvl w:val="0"/>
          <w:numId w:val="4"/>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Leave benefits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72</w:t>
      </w:r>
    </w:p>
    <w:p w:rsidR="00595188" w:rsidRPr="00595188" w:rsidRDefault="00595188" w:rsidP="00595188">
      <w:pPr>
        <w:numPr>
          <w:ilvl w:val="0"/>
          <w:numId w:val="4"/>
        </w:numPr>
        <w:spacing w:after="0"/>
        <w:rPr>
          <w:rFonts w:ascii="Times New Roman" w:eastAsiaTheme="minorHAnsi" w:hAnsi="Times New Roman"/>
          <w:sz w:val="24"/>
          <w:szCs w:val="24"/>
        </w:rPr>
      </w:pPr>
      <w:r w:rsidRPr="00595188">
        <w:rPr>
          <w:rFonts w:ascii="Times New Roman" w:eastAsiaTheme="minorHAnsi" w:hAnsi="Times New Roman"/>
          <w:sz w:val="24"/>
          <w:szCs w:val="24"/>
        </w:rPr>
        <w:t>Pension contributions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146</w:t>
      </w:r>
    </w:p>
    <w:p w:rsidR="00595188" w:rsidRPr="00595188" w:rsidRDefault="00595188" w:rsidP="00595188">
      <w:pPr>
        <w:numPr>
          <w:ilvl w:val="0"/>
          <w:numId w:val="4"/>
        </w:numPr>
        <w:spacing w:after="0"/>
        <w:rPr>
          <w:rFonts w:ascii="Times New Roman" w:eastAsiaTheme="minorHAnsi" w:hAnsi="Times New Roman"/>
          <w:sz w:val="24"/>
          <w:szCs w:val="24"/>
        </w:rPr>
      </w:pPr>
      <w:r w:rsidRPr="00595188">
        <w:rPr>
          <w:rFonts w:ascii="Times New Roman" w:eastAsiaTheme="minorHAnsi" w:hAnsi="Times New Roman"/>
          <w:sz w:val="24"/>
          <w:szCs w:val="24"/>
        </w:rPr>
        <w:t>Termination costs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286</w:t>
      </w:r>
    </w:p>
    <w:p w:rsidR="00595188" w:rsidRPr="00595188" w:rsidRDefault="00595188" w:rsidP="00595188">
      <w:pPr>
        <w:numPr>
          <w:ilvl w:val="0"/>
          <w:numId w:val="4"/>
        </w:numPr>
        <w:spacing w:after="0"/>
        <w:rPr>
          <w:rFonts w:ascii="Times New Roman" w:eastAsiaTheme="minorHAnsi" w:hAnsi="Times New Roman"/>
          <w:sz w:val="24"/>
          <w:szCs w:val="24"/>
          <w:u w:val="single"/>
        </w:rPr>
      </w:pPr>
      <w:r w:rsidRPr="00595188">
        <w:rPr>
          <w:rFonts w:ascii="Times New Roman" w:eastAsiaTheme="minorHAnsi" w:hAnsi="Times New Roman"/>
          <w:sz w:val="24"/>
          <w:szCs w:val="24"/>
        </w:rPr>
        <w:t>Provision for staff leave accruals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u w:val="single"/>
        </w:rPr>
        <w:t>492</w:t>
      </w:r>
    </w:p>
    <w:p w:rsidR="00595188" w:rsidRPr="00595188" w:rsidRDefault="00595188" w:rsidP="00595188">
      <w:p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996</w:t>
      </w:r>
    </w:p>
    <w:p w:rsidR="00595188" w:rsidRPr="00595188" w:rsidRDefault="00595188" w:rsidP="00595188">
      <w:pPr>
        <w:numPr>
          <w:ilvl w:val="0"/>
          <w:numId w:val="3"/>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Included in the </w:t>
      </w:r>
      <w:r w:rsidR="008B784B" w:rsidRPr="00595188">
        <w:rPr>
          <w:rFonts w:ascii="Times New Roman" w:eastAsiaTheme="minorHAnsi" w:hAnsi="Times New Roman"/>
          <w:sz w:val="24"/>
          <w:szCs w:val="24"/>
        </w:rPr>
        <w:t>director’s</w:t>
      </w:r>
      <w:r w:rsidRPr="00595188">
        <w:rPr>
          <w:rFonts w:ascii="Times New Roman" w:eastAsiaTheme="minorHAnsi" w:hAnsi="Times New Roman"/>
          <w:sz w:val="24"/>
          <w:szCs w:val="24"/>
        </w:rPr>
        <w:t xml:space="preserve"> other emoluments are</w:t>
      </w:r>
    </w:p>
    <w:p w:rsidR="00595188" w:rsidRPr="00595188" w:rsidRDefault="00595188" w:rsidP="00595188">
      <w:pPr>
        <w:spacing w:after="0"/>
        <w:rPr>
          <w:rFonts w:ascii="Times New Roman" w:eastAsiaTheme="minorHAnsi" w:hAnsi="Times New Roman"/>
          <w:sz w:val="24"/>
          <w:szCs w:val="24"/>
        </w:rPr>
      </w:pPr>
      <w:r w:rsidRPr="00595188">
        <w:rPr>
          <w:rFonts w:ascii="Times New Roman" w:eastAsiaTheme="minorHAnsi" w:hAnsi="Times New Roman"/>
          <w:sz w:val="24"/>
          <w:szCs w:val="24"/>
        </w:rPr>
        <w:lastRenderedPageBreak/>
        <w:t xml:space="preserve">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Shs.(000)</w:t>
      </w:r>
    </w:p>
    <w:p w:rsidR="00595188" w:rsidRPr="00595188" w:rsidRDefault="00595188" w:rsidP="00595188">
      <w:pPr>
        <w:numPr>
          <w:ilvl w:val="0"/>
          <w:numId w:val="5"/>
        </w:numPr>
        <w:spacing w:after="0"/>
        <w:rPr>
          <w:rFonts w:ascii="Times New Roman" w:eastAsiaTheme="minorHAnsi" w:hAnsi="Times New Roman"/>
          <w:sz w:val="24"/>
          <w:szCs w:val="24"/>
        </w:rPr>
      </w:pPr>
      <w:r w:rsidRPr="00595188">
        <w:rPr>
          <w:rFonts w:ascii="Times New Roman" w:eastAsiaTheme="minorHAnsi" w:hAnsi="Times New Roman"/>
          <w:sz w:val="24"/>
          <w:szCs w:val="24"/>
        </w:rPr>
        <w:t>School fees for chairman’s children</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120</w:t>
      </w:r>
    </w:p>
    <w:p w:rsidR="00595188" w:rsidRPr="00595188" w:rsidRDefault="00595188" w:rsidP="00595188">
      <w:pPr>
        <w:numPr>
          <w:ilvl w:val="0"/>
          <w:numId w:val="5"/>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Entertainment allowance (used on clients)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180</w:t>
      </w:r>
    </w:p>
    <w:p w:rsidR="00595188" w:rsidRPr="00595188" w:rsidRDefault="00595188" w:rsidP="00595188">
      <w:pPr>
        <w:numPr>
          <w:ilvl w:val="0"/>
          <w:numId w:val="5"/>
        </w:numPr>
        <w:spacing w:after="0"/>
        <w:rPr>
          <w:rFonts w:ascii="Times New Roman" w:eastAsiaTheme="minorHAnsi" w:hAnsi="Times New Roman"/>
          <w:sz w:val="24"/>
          <w:szCs w:val="24"/>
        </w:rPr>
      </w:pPr>
      <w:r w:rsidRPr="00595188">
        <w:rPr>
          <w:rFonts w:ascii="Times New Roman" w:eastAsiaTheme="minorHAnsi" w:hAnsi="Times New Roman"/>
          <w:sz w:val="24"/>
          <w:szCs w:val="24"/>
        </w:rPr>
        <w:t>Travelling costs for newly recruited expatriate director</w:t>
      </w:r>
      <w:r w:rsidRPr="00595188">
        <w:rPr>
          <w:rFonts w:ascii="Times New Roman" w:eastAsiaTheme="minorHAnsi" w:hAnsi="Times New Roman"/>
          <w:sz w:val="24"/>
          <w:szCs w:val="24"/>
        </w:rPr>
        <w:tab/>
        <w:t xml:space="preserve">  60</w:t>
      </w:r>
    </w:p>
    <w:p w:rsidR="00595188" w:rsidRPr="00595188" w:rsidRDefault="00595188" w:rsidP="00595188">
      <w:pPr>
        <w:numPr>
          <w:ilvl w:val="0"/>
          <w:numId w:val="3"/>
        </w:numPr>
        <w:spacing w:after="0"/>
        <w:rPr>
          <w:rFonts w:ascii="Times New Roman" w:eastAsiaTheme="minorHAnsi" w:hAnsi="Times New Roman"/>
          <w:sz w:val="24"/>
          <w:szCs w:val="24"/>
        </w:rPr>
      </w:pPr>
      <w:r w:rsidRPr="00595188">
        <w:rPr>
          <w:rFonts w:ascii="Times New Roman" w:eastAsiaTheme="minorHAnsi" w:hAnsi="Times New Roman"/>
          <w:sz w:val="24"/>
          <w:szCs w:val="24"/>
        </w:rPr>
        <w:t>The movement in provisions for bad and doubtful debts during the year was as follows</w:t>
      </w:r>
    </w:p>
    <w:tbl>
      <w:tblPr>
        <w:tblStyle w:val="TableGrid"/>
        <w:tblW w:w="0" w:type="auto"/>
        <w:tblInd w:w="720" w:type="dxa"/>
        <w:tblLook w:val="04A0" w:firstRow="1" w:lastRow="0" w:firstColumn="1" w:lastColumn="0" w:noHBand="0" w:noVBand="1"/>
      </w:tblPr>
      <w:tblGrid>
        <w:gridCol w:w="2394"/>
        <w:gridCol w:w="2394"/>
        <w:gridCol w:w="2394"/>
        <w:gridCol w:w="2394"/>
      </w:tblGrid>
      <w:tr w:rsidR="00595188" w:rsidRPr="00595188" w:rsidTr="008A4916">
        <w:tc>
          <w:tcPr>
            <w:tcW w:w="2394" w:type="dxa"/>
          </w:tcPr>
          <w:p w:rsidR="00595188" w:rsidRPr="00595188" w:rsidRDefault="00595188" w:rsidP="008B784B">
            <w:pPr>
              <w:spacing w:after="0" w:line="240" w:lineRule="auto"/>
              <w:rPr>
                <w:rFonts w:ascii="Times New Roman" w:eastAsiaTheme="minorHAnsi" w:hAnsi="Times New Roman"/>
                <w:b/>
                <w:sz w:val="24"/>
                <w:szCs w:val="24"/>
              </w:rPr>
            </w:pPr>
          </w:p>
        </w:tc>
        <w:tc>
          <w:tcPr>
            <w:tcW w:w="2394"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Specific provision shs. (000)</w:t>
            </w:r>
          </w:p>
        </w:tc>
        <w:tc>
          <w:tcPr>
            <w:tcW w:w="2394"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General provision Shs. (000)</w:t>
            </w:r>
          </w:p>
        </w:tc>
        <w:tc>
          <w:tcPr>
            <w:tcW w:w="2394" w:type="dxa"/>
          </w:tcPr>
          <w:p w:rsidR="00595188" w:rsidRPr="00595188" w:rsidRDefault="00595188" w:rsidP="008B784B">
            <w:pPr>
              <w:spacing w:after="0" w:line="240" w:lineRule="auto"/>
              <w:jc w:val="right"/>
              <w:rPr>
                <w:rFonts w:ascii="Times New Roman" w:eastAsiaTheme="minorHAnsi" w:hAnsi="Times New Roman"/>
                <w:b/>
                <w:sz w:val="24"/>
                <w:szCs w:val="24"/>
              </w:rPr>
            </w:pPr>
            <w:r w:rsidRPr="00595188">
              <w:rPr>
                <w:rFonts w:ascii="Times New Roman" w:eastAsiaTheme="minorHAnsi" w:hAnsi="Times New Roman"/>
                <w:b/>
                <w:sz w:val="24"/>
                <w:szCs w:val="24"/>
              </w:rPr>
              <w:t>Total shs. (000)</w:t>
            </w:r>
          </w:p>
        </w:tc>
      </w:tr>
      <w:tr w:rsidR="00595188" w:rsidRPr="00595188" w:rsidTr="008A4916">
        <w:tc>
          <w:tcPr>
            <w:tcW w:w="2394"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At 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Jan 2020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63,050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63</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63,113</w:t>
            </w:r>
          </w:p>
        </w:tc>
      </w:tr>
      <w:tr w:rsidR="00595188" w:rsidRPr="00595188" w:rsidTr="008A4916">
        <w:tc>
          <w:tcPr>
            <w:tcW w:w="2394"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Charge for the year</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8,380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1,530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9,910</w:t>
            </w:r>
          </w:p>
        </w:tc>
      </w:tr>
      <w:tr w:rsidR="00595188" w:rsidRPr="00595188" w:rsidTr="008A4916">
        <w:tc>
          <w:tcPr>
            <w:tcW w:w="2394"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Released during the year</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u w:val="single"/>
              </w:rPr>
            </w:pPr>
            <w:r w:rsidRPr="00595188">
              <w:rPr>
                <w:rFonts w:ascii="Times New Roman" w:eastAsiaTheme="minorHAnsi" w:hAnsi="Times New Roman"/>
                <w:sz w:val="24"/>
                <w:szCs w:val="24"/>
                <w:u w:val="single"/>
              </w:rPr>
              <w:t>(1,860)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u w:val="single"/>
              </w:rPr>
            </w:pPr>
            <w:r w:rsidRPr="00595188">
              <w:rPr>
                <w:rFonts w:ascii="Times New Roman" w:eastAsiaTheme="minorHAnsi" w:hAnsi="Times New Roman"/>
                <w:sz w:val="24"/>
                <w:szCs w:val="24"/>
                <w:u w:val="single"/>
              </w:rPr>
              <w:t>(1,860)</w:t>
            </w:r>
          </w:p>
        </w:tc>
      </w:tr>
      <w:tr w:rsidR="00595188" w:rsidRPr="00595188" w:rsidTr="008A4916">
        <w:tc>
          <w:tcPr>
            <w:tcW w:w="2394" w:type="dxa"/>
          </w:tcPr>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At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2020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69,570</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1,593</w:t>
            </w:r>
          </w:p>
        </w:tc>
        <w:tc>
          <w:tcPr>
            <w:tcW w:w="2394" w:type="dxa"/>
          </w:tcPr>
          <w:p w:rsidR="00595188" w:rsidRPr="00595188" w:rsidRDefault="00595188" w:rsidP="008B784B">
            <w:pPr>
              <w:spacing w:after="0" w:line="240" w:lineRule="auto"/>
              <w:jc w:val="right"/>
              <w:rPr>
                <w:rFonts w:ascii="Times New Roman" w:eastAsiaTheme="minorHAnsi" w:hAnsi="Times New Roman"/>
                <w:sz w:val="24"/>
                <w:szCs w:val="24"/>
              </w:rPr>
            </w:pPr>
            <w:r w:rsidRPr="00595188">
              <w:rPr>
                <w:rFonts w:ascii="Times New Roman" w:eastAsiaTheme="minorHAnsi" w:hAnsi="Times New Roman"/>
                <w:sz w:val="24"/>
                <w:szCs w:val="24"/>
              </w:rPr>
              <w:t>71,163</w:t>
            </w:r>
          </w:p>
        </w:tc>
      </w:tr>
    </w:tbl>
    <w:p w:rsidR="00595188" w:rsidRPr="00595188" w:rsidRDefault="00595188" w:rsidP="00595188">
      <w:pPr>
        <w:numPr>
          <w:ilvl w:val="0"/>
          <w:numId w:val="3"/>
        </w:numPr>
        <w:spacing w:after="0"/>
        <w:rPr>
          <w:rFonts w:ascii="Times New Roman" w:eastAsiaTheme="minorHAnsi" w:hAnsi="Times New Roman"/>
          <w:sz w:val="24"/>
          <w:szCs w:val="24"/>
        </w:rPr>
      </w:pPr>
      <w:r w:rsidRPr="00595188">
        <w:rPr>
          <w:rFonts w:ascii="Times New Roman" w:eastAsiaTheme="minorHAnsi" w:hAnsi="Times New Roman"/>
          <w:sz w:val="24"/>
          <w:szCs w:val="24"/>
        </w:rPr>
        <w:t>Provision for interest suspense represents non-performing loans and advances on which interest has been suspended. The management has confirmed that the loans and advances are fully secured.</w:t>
      </w:r>
    </w:p>
    <w:p w:rsidR="00595188" w:rsidRPr="00595188" w:rsidRDefault="00595188" w:rsidP="00595188">
      <w:pPr>
        <w:numPr>
          <w:ilvl w:val="0"/>
          <w:numId w:val="3"/>
        </w:numPr>
        <w:spacing w:after="0"/>
        <w:rPr>
          <w:rFonts w:ascii="Times New Roman" w:eastAsiaTheme="minorHAnsi" w:hAnsi="Times New Roman"/>
          <w:sz w:val="24"/>
          <w:szCs w:val="24"/>
        </w:rPr>
      </w:pPr>
      <w:r w:rsidRPr="00595188">
        <w:rPr>
          <w:rFonts w:ascii="Times New Roman" w:eastAsiaTheme="minorHAnsi" w:hAnsi="Times New Roman"/>
          <w:sz w:val="24"/>
          <w:szCs w:val="24"/>
        </w:rPr>
        <w:t>Capital allowances for the year ended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2020 amounted to shs. 1,890,000.</w:t>
      </w:r>
    </w:p>
    <w:p w:rsidR="00595188" w:rsidRPr="00595188" w:rsidRDefault="00595188" w:rsidP="00595188">
      <w:pPr>
        <w:numPr>
          <w:ilvl w:val="0"/>
          <w:numId w:val="3"/>
        </w:numPr>
        <w:spacing w:after="0"/>
        <w:rPr>
          <w:rFonts w:ascii="Times New Roman" w:eastAsiaTheme="minorHAnsi" w:hAnsi="Times New Roman"/>
          <w:sz w:val="24"/>
          <w:szCs w:val="24"/>
        </w:rPr>
      </w:pPr>
      <w:r w:rsidRPr="00595188">
        <w:rPr>
          <w:rFonts w:ascii="Times New Roman" w:eastAsiaTheme="minorHAnsi" w:hAnsi="Times New Roman"/>
          <w:sz w:val="24"/>
          <w:szCs w:val="24"/>
        </w:rPr>
        <w:t>Lease rental charges relate to office equipment leased from furniture solutions Ltd for use in the entire bank network</w:t>
      </w:r>
    </w:p>
    <w:p w:rsidR="00595188" w:rsidRPr="00595188" w:rsidRDefault="00595188" w:rsidP="00595188">
      <w:pPr>
        <w:spacing w:after="0"/>
        <w:rPr>
          <w:rFonts w:ascii="Times New Roman" w:eastAsiaTheme="minorHAnsi" w:hAnsi="Times New Roman"/>
          <w:b/>
          <w:sz w:val="24"/>
          <w:szCs w:val="24"/>
        </w:rPr>
      </w:pPr>
      <w:r w:rsidRPr="00595188">
        <w:rPr>
          <w:rFonts w:ascii="Times New Roman" w:eastAsiaTheme="minorHAnsi" w:hAnsi="Times New Roman"/>
          <w:b/>
          <w:sz w:val="24"/>
          <w:szCs w:val="24"/>
        </w:rPr>
        <w:t>Required</w:t>
      </w:r>
    </w:p>
    <w:p w:rsidR="00595188" w:rsidRPr="00595188" w:rsidRDefault="00595188" w:rsidP="00595188">
      <w:pPr>
        <w:numPr>
          <w:ilvl w:val="0"/>
          <w:numId w:val="6"/>
        </w:numPr>
        <w:spacing w:after="0"/>
        <w:rPr>
          <w:rFonts w:ascii="Times New Roman" w:eastAsiaTheme="minorHAnsi" w:hAnsi="Times New Roman"/>
          <w:sz w:val="24"/>
          <w:szCs w:val="24"/>
        </w:rPr>
      </w:pPr>
      <w:r w:rsidRPr="00595188">
        <w:rPr>
          <w:rFonts w:ascii="Times New Roman" w:eastAsiaTheme="minorHAnsi" w:hAnsi="Times New Roman"/>
          <w:sz w:val="24"/>
          <w:szCs w:val="24"/>
        </w:rPr>
        <w:t>Taxable income for the bank for the year ended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2020                           </w:t>
      </w:r>
      <w:r>
        <w:rPr>
          <w:rFonts w:ascii="Times New Roman" w:eastAsiaTheme="minorHAnsi" w:hAnsi="Times New Roman"/>
          <w:sz w:val="24"/>
          <w:szCs w:val="24"/>
        </w:rPr>
        <w:tab/>
      </w:r>
      <w:r w:rsidRPr="00595188">
        <w:rPr>
          <w:rFonts w:ascii="Times New Roman" w:eastAsiaTheme="minorHAnsi" w:hAnsi="Times New Roman"/>
          <w:b/>
          <w:sz w:val="24"/>
          <w:szCs w:val="24"/>
        </w:rPr>
        <w:t>(12marks)</w:t>
      </w:r>
    </w:p>
    <w:p w:rsidR="00595188" w:rsidRPr="00595188" w:rsidRDefault="00595188" w:rsidP="00595188">
      <w:pPr>
        <w:numPr>
          <w:ilvl w:val="0"/>
          <w:numId w:val="6"/>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Tax payable if any, on the taxable income computed above                                  </w:t>
      </w:r>
      <w:r>
        <w:rPr>
          <w:rFonts w:ascii="Times New Roman" w:eastAsiaTheme="minorHAnsi" w:hAnsi="Times New Roman"/>
          <w:sz w:val="24"/>
          <w:szCs w:val="24"/>
        </w:rPr>
        <w:tab/>
      </w:r>
      <w:r w:rsidRPr="00595188">
        <w:rPr>
          <w:rFonts w:ascii="Times New Roman" w:eastAsiaTheme="minorHAnsi" w:hAnsi="Times New Roman"/>
          <w:b/>
          <w:sz w:val="24"/>
          <w:szCs w:val="24"/>
        </w:rPr>
        <w:t>(2marks)</w:t>
      </w:r>
    </w:p>
    <w:p w:rsidR="00595188" w:rsidRPr="00595188" w:rsidRDefault="00595188" w:rsidP="00595188">
      <w:pPr>
        <w:numPr>
          <w:ilvl w:val="0"/>
          <w:numId w:val="6"/>
        </w:numPr>
        <w:contextualSpacing/>
        <w:rPr>
          <w:rFonts w:ascii="Times New Roman" w:eastAsiaTheme="minorHAnsi" w:hAnsi="Times New Roman"/>
          <w:sz w:val="24"/>
          <w:szCs w:val="24"/>
        </w:rPr>
      </w:pPr>
      <w:r w:rsidRPr="00595188">
        <w:rPr>
          <w:rFonts w:ascii="Times New Roman" w:eastAsiaTheme="minorHAnsi" w:hAnsi="Times New Roman"/>
          <w:sz w:val="24"/>
          <w:szCs w:val="24"/>
        </w:rPr>
        <w:t>Given that the banks taxable income for the year ended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2019 was assessed at shs. 720,000, show how the tax computed in (b) above is to be paid, indicating the due dates.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595188">
        <w:rPr>
          <w:rFonts w:ascii="Times New Roman" w:eastAsiaTheme="minorHAnsi" w:hAnsi="Times New Roman"/>
          <w:sz w:val="24"/>
          <w:szCs w:val="24"/>
        </w:rPr>
        <w:t xml:space="preserve"> </w:t>
      </w:r>
      <w:r w:rsidRPr="00595188">
        <w:rPr>
          <w:rFonts w:ascii="Times New Roman" w:eastAsiaTheme="minorHAnsi" w:hAnsi="Times New Roman"/>
          <w:b/>
          <w:sz w:val="24"/>
          <w:szCs w:val="24"/>
        </w:rPr>
        <w:t>(6 marks)</w:t>
      </w:r>
    </w:p>
    <w:p w:rsidR="00595188" w:rsidRPr="00595188" w:rsidRDefault="00595188" w:rsidP="00595188">
      <w:pPr>
        <w:tabs>
          <w:tab w:val="left" w:pos="1570"/>
        </w:tabs>
        <w:spacing w:after="0" w:line="360" w:lineRule="auto"/>
        <w:rPr>
          <w:rFonts w:ascii="Times New Roman" w:eastAsiaTheme="minorHAnsi" w:hAnsi="Times New Roman"/>
          <w:b/>
          <w:sz w:val="24"/>
          <w:szCs w:val="24"/>
        </w:rPr>
      </w:pPr>
      <w:r w:rsidRPr="00595188">
        <w:rPr>
          <w:rFonts w:ascii="Times New Roman" w:eastAsiaTheme="minorHAnsi" w:hAnsi="Times New Roman"/>
          <w:b/>
          <w:sz w:val="24"/>
          <w:szCs w:val="24"/>
        </w:rPr>
        <w:t>QUESTION TWO</w:t>
      </w:r>
    </w:p>
    <w:p w:rsidR="00595188" w:rsidRPr="00595188" w:rsidRDefault="00595188" w:rsidP="00595188">
      <w:pPr>
        <w:pStyle w:val="ListParagraph"/>
        <w:numPr>
          <w:ilvl w:val="0"/>
          <w:numId w:val="16"/>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Describe any four offences under the VAT Act</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b/>
          <w:sz w:val="24"/>
          <w:szCs w:val="24"/>
        </w:rPr>
        <w:t>(8 marks)</w:t>
      </w:r>
    </w:p>
    <w:p w:rsidR="00595188" w:rsidRPr="00595188" w:rsidRDefault="00595188" w:rsidP="00595188">
      <w:pPr>
        <w:pStyle w:val="ListParagraph"/>
        <w:numPr>
          <w:ilvl w:val="0"/>
          <w:numId w:val="16"/>
        </w:numPr>
        <w:tabs>
          <w:tab w:val="left" w:pos="1570"/>
        </w:tabs>
        <w:spacing w:after="0" w:line="360" w:lineRule="auto"/>
        <w:rPr>
          <w:rFonts w:ascii="Times New Roman" w:eastAsia="Times New Roman" w:hAnsi="Times New Roman"/>
          <w:b/>
          <w:bCs/>
          <w:sz w:val="24"/>
          <w:szCs w:val="24"/>
        </w:rPr>
      </w:pPr>
      <w:r w:rsidRPr="00595188">
        <w:rPr>
          <w:rFonts w:ascii="Times New Roman" w:eastAsiaTheme="minorHAnsi" w:hAnsi="Times New Roman"/>
          <w:sz w:val="24"/>
          <w:szCs w:val="24"/>
        </w:rPr>
        <w:t>Hassan is a Kenyan resident. In the year 2019 he had income of shs 2,400,000 from Kenya and a net income of shs. 1,200,000 from Malawi.  The tax deducted in Malawi was shs 600,000. Kenya has double taxation relief agreement with Malawi. The monthly personal relief applicable is shs. 1,162. The following income tax slabs are provided</w:t>
      </w:r>
      <w:r w:rsidRPr="00595188">
        <w:rPr>
          <w:rFonts w:ascii="Times New Roman" w:eastAsia="Times New Roman" w:hAnsi="Times New Roman"/>
          <w:b/>
          <w:bCs/>
          <w:sz w:val="24"/>
          <w:szCs w:val="24"/>
        </w:rPr>
        <w:t xml:space="preserve"> </w:t>
      </w:r>
    </w:p>
    <w:p w:rsidR="00595188" w:rsidRPr="00595188" w:rsidRDefault="00595188" w:rsidP="00595188">
      <w:pPr>
        <w:tabs>
          <w:tab w:val="left" w:pos="1570"/>
        </w:tabs>
        <w:spacing w:after="0" w:line="360" w:lineRule="auto"/>
        <w:rPr>
          <w:rFonts w:ascii="Times New Roman" w:eastAsiaTheme="minorHAnsi" w:hAnsi="Times New Roman"/>
          <w:b/>
          <w:bCs/>
          <w:sz w:val="24"/>
          <w:szCs w:val="24"/>
        </w:rPr>
      </w:pPr>
      <w:r w:rsidRPr="00595188">
        <w:rPr>
          <w:rFonts w:ascii="Times New Roman" w:eastAsiaTheme="minorHAnsi" w:hAnsi="Times New Roman"/>
          <w:b/>
          <w:bCs/>
          <w:sz w:val="24"/>
          <w:szCs w:val="24"/>
        </w:rPr>
        <w:t>Annual Income</w:t>
      </w:r>
      <w:r w:rsidRPr="00595188">
        <w:rPr>
          <w:rFonts w:ascii="Times New Roman" w:eastAsiaTheme="minorHAnsi" w:hAnsi="Times New Roman"/>
          <w:b/>
          <w:bCs/>
          <w:sz w:val="24"/>
          <w:szCs w:val="24"/>
        </w:rPr>
        <w:tab/>
      </w:r>
      <w:r w:rsidRPr="00595188">
        <w:rPr>
          <w:rFonts w:ascii="Times New Roman" w:eastAsiaTheme="minorHAnsi" w:hAnsi="Times New Roman"/>
          <w:b/>
          <w:bCs/>
          <w:sz w:val="24"/>
          <w:szCs w:val="24"/>
        </w:rPr>
        <w:tab/>
      </w:r>
      <w:r w:rsidRPr="00595188">
        <w:rPr>
          <w:rFonts w:ascii="Times New Roman" w:eastAsiaTheme="minorHAnsi" w:hAnsi="Times New Roman"/>
          <w:b/>
          <w:bCs/>
          <w:sz w:val="24"/>
          <w:szCs w:val="24"/>
        </w:rPr>
        <w:tab/>
        <w:t xml:space="preserve">     Tax Rate</w:t>
      </w:r>
    </w:p>
    <w:p w:rsidR="00595188" w:rsidRPr="00595188" w:rsidRDefault="00595188" w:rsidP="00595188">
      <w:p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On first Kshs 121,968</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10%</w:t>
      </w:r>
    </w:p>
    <w:p w:rsidR="00595188" w:rsidRPr="00595188" w:rsidRDefault="00595188" w:rsidP="00595188">
      <w:p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On next Kshs 114,912</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15%</w:t>
      </w:r>
    </w:p>
    <w:p w:rsidR="00595188" w:rsidRPr="00595188" w:rsidRDefault="00595188" w:rsidP="00595188">
      <w:p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On next Kshs 114,912</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20%</w:t>
      </w:r>
    </w:p>
    <w:p w:rsidR="00595188" w:rsidRPr="00595188" w:rsidRDefault="00595188" w:rsidP="00595188">
      <w:p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On next Kshs 114,912</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25%</w:t>
      </w:r>
    </w:p>
    <w:p w:rsidR="00595188" w:rsidRPr="00595188" w:rsidRDefault="00595188" w:rsidP="00595188">
      <w:p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Over Kshs     466,704</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30%</w:t>
      </w:r>
    </w:p>
    <w:p w:rsidR="00595188" w:rsidRDefault="00595188" w:rsidP="00595188">
      <w:pPr>
        <w:tabs>
          <w:tab w:val="left" w:pos="1570"/>
        </w:tabs>
        <w:spacing w:after="0" w:line="360" w:lineRule="auto"/>
        <w:rPr>
          <w:rFonts w:ascii="Times New Roman" w:eastAsiaTheme="minorHAnsi" w:hAnsi="Times New Roman"/>
          <w:b/>
          <w:sz w:val="24"/>
          <w:szCs w:val="24"/>
        </w:rPr>
      </w:pPr>
      <w:r w:rsidRPr="00595188">
        <w:rPr>
          <w:rFonts w:ascii="Times New Roman" w:eastAsiaTheme="minorHAnsi" w:hAnsi="Times New Roman"/>
          <w:b/>
          <w:sz w:val="24"/>
          <w:szCs w:val="24"/>
        </w:rPr>
        <w:t xml:space="preserve">Required:  </w:t>
      </w:r>
    </w:p>
    <w:p w:rsidR="00595188" w:rsidRPr="00595188" w:rsidRDefault="00595188" w:rsidP="00595188">
      <w:pPr>
        <w:pStyle w:val="ListParagraph"/>
        <w:numPr>
          <w:ilvl w:val="0"/>
          <w:numId w:val="15"/>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The double taxation relief in Kenya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Pr>
          <w:rFonts w:ascii="Times New Roman" w:eastAsiaTheme="minorHAnsi" w:hAnsi="Times New Roman"/>
          <w:sz w:val="24"/>
          <w:szCs w:val="24"/>
        </w:rPr>
        <w:tab/>
      </w:r>
      <w:r w:rsidRPr="00595188">
        <w:rPr>
          <w:rFonts w:ascii="Times New Roman" w:eastAsiaTheme="minorHAnsi" w:hAnsi="Times New Roman"/>
          <w:sz w:val="24"/>
          <w:szCs w:val="24"/>
        </w:rPr>
        <w:t xml:space="preserve"> </w:t>
      </w:r>
      <w:r w:rsidRPr="00595188">
        <w:rPr>
          <w:rFonts w:ascii="Times New Roman" w:eastAsiaTheme="minorHAnsi" w:hAnsi="Times New Roman"/>
          <w:b/>
          <w:sz w:val="24"/>
          <w:szCs w:val="24"/>
        </w:rPr>
        <w:t>(9 marks)</w:t>
      </w:r>
    </w:p>
    <w:p w:rsidR="00595188" w:rsidRPr="00595188" w:rsidRDefault="00595188" w:rsidP="00595188">
      <w:pPr>
        <w:pStyle w:val="ListParagraph"/>
        <w:numPr>
          <w:ilvl w:val="0"/>
          <w:numId w:val="15"/>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The tax payable by Hassan in Kenya.</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595188">
        <w:rPr>
          <w:rFonts w:ascii="Times New Roman" w:eastAsiaTheme="minorHAnsi" w:hAnsi="Times New Roman"/>
          <w:sz w:val="24"/>
          <w:szCs w:val="24"/>
        </w:rPr>
        <w:t xml:space="preserve"> </w:t>
      </w:r>
      <w:r w:rsidRPr="00595188">
        <w:rPr>
          <w:rFonts w:ascii="Times New Roman" w:eastAsiaTheme="minorHAnsi" w:hAnsi="Times New Roman"/>
          <w:b/>
          <w:sz w:val="24"/>
          <w:szCs w:val="24"/>
        </w:rPr>
        <w:t>(3 marks)</w:t>
      </w:r>
    </w:p>
    <w:p w:rsidR="00595188" w:rsidRPr="00595188" w:rsidRDefault="00595188" w:rsidP="00595188">
      <w:pPr>
        <w:tabs>
          <w:tab w:val="left" w:pos="1570"/>
        </w:tabs>
        <w:spacing w:after="0" w:line="360" w:lineRule="auto"/>
        <w:rPr>
          <w:rFonts w:ascii="Times New Roman" w:eastAsiaTheme="minorHAnsi" w:hAnsi="Times New Roman"/>
          <w:b/>
          <w:sz w:val="24"/>
          <w:szCs w:val="24"/>
        </w:rPr>
      </w:pPr>
    </w:p>
    <w:p w:rsidR="00595188" w:rsidRPr="00595188" w:rsidRDefault="00595188" w:rsidP="00595188">
      <w:pPr>
        <w:tabs>
          <w:tab w:val="left" w:pos="1570"/>
        </w:tabs>
        <w:spacing w:after="0" w:line="360" w:lineRule="auto"/>
        <w:rPr>
          <w:rFonts w:ascii="Times New Roman" w:eastAsiaTheme="minorHAnsi" w:hAnsi="Times New Roman"/>
          <w:b/>
          <w:sz w:val="24"/>
          <w:szCs w:val="24"/>
        </w:rPr>
      </w:pPr>
      <w:r w:rsidRPr="00595188">
        <w:rPr>
          <w:rFonts w:ascii="Times New Roman" w:eastAsiaTheme="minorHAnsi" w:hAnsi="Times New Roman"/>
          <w:b/>
          <w:sz w:val="24"/>
          <w:szCs w:val="24"/>
        </w:rPr>
        <w:lastRenderedPageBreak/>
        <w:t>QUESTION THREE</w:t>
      </w:r>
    </w:p>
    <w:p w:rsidR="00595188" w:rsidRDefault="00595188" w:rsidP="00595188">
      <w:pPr>
        <w:pStyle w:val="ListParagraph"/>
        <w:numPr>
          <w:ilvl w:val="0"/>
          <w:numId w:val="13"/>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Briefly explain any four anti-dumping measures that can be taken by a country.         </w:t>
      </w:r>
      <w:r w:rsidRPr="00595188">
        <w:rPr>
          <w:rFonts w:ascii="Times New Roman" w:eastAsiaTheme="minorHAnsi" w:hAnsi="Times New Roman"/>
          <w:b/>
          <w:sz w:val="24"/>
          <w:szCs w:val="24"/>
        </w:rPr>
        <w:t>(8marks)</w:t>
      </w:r>
      <w:r w:rsidRPr="00595188">
        <w:rPr>
          <w:rFonts w:ascii="Times New Roman" w:eastAsiaTheme="minorHAnsi" w:hAnsi="Times New Roman"/>
          <w:sz w:val="24"/>
          <w:szCs w:val="24"/>
        </w:rPr>
        <w:t xml:space="preserve">                            </w:t>
      </w:r>
      <w:r>
        <w:rPr>
          <w:rFonts w:ascii="Times New Roman" w:eastAsiaTheme="minorHAnsi" w:hAnsi="Times New Roman"/>
          <w:sz w:val="24"/>
          <w:szCs w:val="24"/>
        </w:rPr>
        <w:t xml:space="preserve">                              </w:t>
      </w:r>
    </w:p>
    <w:p w:rsidR="00595188" w:rsidRPr="00595188" w:rsidRDefault="00595188" w:rsidP="00595188">
      <w:pPr>
        <w:pStyle w:val="ListParagraph"/>
        <w:numPr>
          <w:ilvl w:val="0"/>
          <w:numId w:val="13"/>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Daima Ltd is a registered supplier of vatable goods. The following information relates to the company transactions for the month of February 2020.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Sales of standard rate shs. 108,000,000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Sales of zero rate shs. 42,000,000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Export sales shs 12,000,000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Exempt sales shs. 18,000,000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Purchases at standard rate shs. 90,000,000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Purchases at zero rate shs. 36,000,000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Salaries and wages shs. 18,000,000</w:t>
      </w:r>
    </w:p>
    <w:p w:rsidR="00595188" w:rsidRPr="00595188" w:rsidRDefault="00595188" w:rsidP="00595188">
      <w:pPr>
        <w:numPr>
          <w:ilvl w:val="0"/>
          <w:numId w:val="7"/>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Purchase of ETR machine shs. 360,000</w:t>
      </w:r>
    </w:p>
    <w:p w:rsidR="00595188" w:rsidRPr="00595188" w:rsidRDefault="00595188" w:rsidP="00595188">
      <w:p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The above amounts are stated exclusive of VAT.</w:t>
      </w:r>
    </w:p>
    <w:p w:rsidR="00595188" w:rsidRPr="00595188" w:rsidRDefault="00595188" w:rsidP="00595188">
      <w:pPr>
        <w:tabs>
          <w:tab w:val="left" w:pos="1570"/>
        </w:tabs>
        <w:spacing w:after="0" w:line="360" w:lineRule="auto"/>
        <w:rPr>
          <w:rFonts w:ascii="Times New Roman" w:eastAsiaTheme="minorHAnsi" w:hAnsi="Times New Roman"/>
          <w:b/>
          <w:sz w:val="24"/>
          <w:szCs w:val="24"/>
        </w:rPr>
      </w:pPr>
      <w:r w:rsidRPr="00595188">
        <w:rPr>
          <w:rFonts w:ascii="Times New Roman" w:eastAsiaTheme="minorHAnsi" w:hAnsi="Times New Roman"/>
          <w:b/>
          <w:sz w:val="24"/>
          <w:szCs w:val="24"/>
        </w:rPr>
        <w:t xml:space="preserve">Required </w:t>
      </w:r>
    </w:p>
    <w:p w:rsidR="00595188" w:rsidRPr="00595188" w:rsidRDefault="00595188" w:rsidP="00595188">
      <w:pPr>
        <w:pStyle w:val="ListParagraph"/>
        <w:numPr>
          <w:ilvl w:val="0"/>
          <w:numId w:val="14"/>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Determine the Input tax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b/>
          <w:sz w:val="24"/>
          <w:szCs w:val="24"/>
        </w:rPr>
        <w:t>(5 marks)</w:t>
      </w:r>
    </w:p>
    <w:p w:rsidR="00595188" w:rsidRPr="00595188" w:rsidRDefault="00595188" w:rsidP="00595188">
      <w:pPr>
        <w:pStyle w:val="ListParagraph"/>
        <w:numPr>
          <w:ilvl w:val="0"/>
          <w:numId w:val="14"/>
        </w:numPr>
        <w:tabs>
          <w:tab w:val="left" w:pos="1570"/>
        </w:tabs>
        <w:spacing w:after="0" w:line="36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The output tax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b/>
          <w:sz w:val="24"/>
          <w:szCs w:val="24"/>
        </w:rPr>
        <w:t>(5 marks)</w:t>
      </w:r>
    </w:p>
    <w:p w:rsidR="00595188" w:rsidRPr="00595188" w:rsidRDefault="00595188" w:rsidP="00595188">
      <w:pPr>
        <w:pStyle w:val="ListParagraph"/>
        <w:numPr>
          <w:ilvl w:val="0"/>
          <w:numId w:val="14"/>
        </w:numPr>
        <w:tabs>
          <w:tab w:val="left" w:pos="1570"/>
        </w:tabs>
        <w:spacing w:after="0" w:line="360" w:lineRule="auto"/>
        <w:rPr>
          <w:rFonts w:ascii="Times New Roman" w:eastAsiaTheme="minorHAnsi" w:hAnsi="Times New Roman"/>
          <w:b/>
          <w:sz w:val="24"/>
          <w:szCs w:val="24"/>
        </w:rPr>
      </w:pPr>
      <w:r w:rsidRPr="00595188">
        <w:rPr>
          <w:rFonts w:ascii="Times New Roman" w:eastAsiaTheme="minorHAnsi" w:hAnsi="Times New Roman"/>
          <w:sz w:val="24"/>
          <w:szCs w:val="24"/>
        </w:rPr>
        <w:t>VAT payable or refundable for the month of February 2020</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sz w:val="24"/>
          <w:szCs w:val="24"/>
        </w:rPr>
        <w:tab/>
      </w:r>
      <w:r>
        <w:rPr>
          <w:rFonts w:ascii="Times New Roman" w:eastAsiaTheme="minorHAnsi" w:hAnsi="Times New Roman"/>
          <w:sz w:val="24"/>
          <w:szCs w:val="24"/>
        </w:rPr>
        <w:tab/>
      </w:r>
      <w:r w:rsidRPr="00595188">
        <w:rPr>
          <w:rFonts w:ascii="Times New Roman" w:eastAsiaTheme="minorHAnsi" w:hAnsi="Times New Roman"/>
          <w:b/>
          <w:sz w:val="24"/>
          <w:szCs w:val="24"/>
        </w:rPr>
        <w:t>(2 marks)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p>
    <w:p w:rsidR="00595188" w:rsidRPr="00595188" w:rsidRDefault="00595188" w:rsidP="00595188">
      <w:pPr>
        <w:rPr>
          <w:rFonts w:ascii="Times New Roman" w:eastAsiaTheme="minorHAnsi" w:hAnsi="Times New Roman"/>
          <w:b/>
          <w:sz w:val="24"/>
          <w:szCs w:val="24"/>
        </w:rPr>
      </w:pPr>
      <w:r w:rsidRPr="00595188">
        <w:rPr>
          <w:rFonts w:ascii="Times New Roman" w:eastAsiaTheme="minorHAnsi" w:hAnsi="Times New Roman"/>
          <w:b/>
          <w:sz w:val="24"/>
          <w:szCs w:val="24"/>
        </w:rPr>
        <w:t>QUESTION FOUR</w:t>
      </w:r>
    </w:p>
    <w:p w:rsidR="00595188" w:rsidRPr="00595188" w:rsidRDefault="00595188" w:rsidP="00595188">
      <w:pPr>
        <w:rPr>
          <w:rFonts w:ascii="Times New Roman" w:eastAsiaTheme="minorHAnsi" w:hAnsi="Times New Roman"/>
          <w:sz w:val="24"/>
          <w:szCs w:val="24"/>
        </w:rPr>
      </w:pPr>
      <w:r w:rsidRPr="00595188">
        <w:rPr>
          <w:rFonts w:ascii="Times New Roman" w:eastAsiaTheme="minorHAnsi" w:hAnsi="Times New Roman"/>
          <w:sz w:val="24"/>
          <w:szCs w:val="24"/>
        </w:rPr>
        <w:t>Imara Genaral Insuarnace Company has provided the followind details with respect to its financial year ended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2020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Gross premium</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57,000,000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Claims paid</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16,200,000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Claims outstanding: 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Jan 2020</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2,220,000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2020</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4,920,000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Claims recovered on re-insurance</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1,200,000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Legal expenses relating to claims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1,620,000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Commission on re-insurance accepted</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8,400,000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Commission on re-insurance ceded</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2,580,000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Reserve for unexpected risks: 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Jan 2020</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2,940,000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Agency expenses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4,680,000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Bad debts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1,350,000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Life Assurance fund</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4,620,000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Depreciation</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1,890,000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Foreign exchange gains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1,260,000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Dividends from life assurance fund</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540,000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Management salaries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5,010,000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Bonus utilized in reduction of premium</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1,275,000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Rental income on premises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3,780,000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Repair of rented premises</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840,000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Advertisement expense</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372,000</w:t>
      </w: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8B784B" w:rsidRDefault="008B784B" w:rsidP="008B784B">
      <w:pPr>
        <w:spacing w:after="0" w:line="240" w:lineRule="auto"/>
        <w:rPr>
          <w:rFonts w:ascii="Times New Roman" w:eastAsiaTheme="minorHAnsi" w:hAnsi="Times New Roman"/>
          <w:sz w:val="24"/>
          <w:szCs w:val="24"/>
        </w:rPr>
      </w:pP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Purchase of furniture</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360,000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 xml:space="preserve">Returned premium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3,690,000</w:t>
      </w:r>
    </w:p>
    <w:p w:rsidR="00595188" w:rsidRPr="00595188" w:rsidRDefault="00595188" w:rsidP="008B784B">
      <w:pPr>
        <w:spacing w:after="0" w:line="240" w:lineRule="auto"/>
        <w:rPr>
          <w:rFonts w:ascii="Times New Roman" w:eastAsiaTheme="minorHAnsi" w:hAnsi="Times New Roman"/>
          <w:sz w:val="24"/>
          <w:szCs w:val="24"/>
        </w:rPr>
      </w:pPr>
      <w:r w:rsidRPr="00595188">
        <w:rPr>
          <w:rFonts w:ascii="Times New Roman" w:eastAsiaTheme="minorHAnsi" w:hAnsi="Times New Roman"/>
          <w:sz w:val="24"/>
          <w:szCs w:val="24"/>
        </w:rPr>
        <w:t>Re-insurance premium paid</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2,010,000</w:t>
      </w:r>
    </w:p>
    <w:p w:rsidR="00595188" w:rsidRPr="00595188" w:rsidRDefault="00595188" w:rsidP="00595188">
      <w:pPr>
        <w:spacing w:after="0"/>
        <w:rPr>
          <w:rFonts w:ascii="Times New Roman" w:eastAsiaTheme="minorHAnsi" w:hAnsi="Times New Roman"/>
          <w:b/>
          <w:sz w:val="24"/>
          <w:szCs w:val="24"/>
        </w:rPr>
      </w:pPr>
      <w:r w:rsidRPr="00595188">
        <w:rPr>
          <w:rFonts w:ascii="Times New Roman" w:eastAsiaTheme="minorHAnsi" w:hAnsi="Times New Roman"/>
          <w:b/>
          <w:sz w:val="24"/>
          <w:szCs w:val="24"/>
        </w:rPr>
        <w:t>Additional information</w:t>
      </w:r>
    </w:p>
    <w:p w:rsidR="00595188" w:rsidRPr="00595188" w:rsidRDefault="00595188" w:rsidP="00595188">
      <w:pPr>
        <w:pStyle w:val="ListParagraph"/>
        <w:numPr>
          <w:ilvl w:val="2"/>
          <w:numId w:val="12"/>
        </w:numPr>
        <w:spacing w:after="0"/>
        <w:rPr>
          <w:rFonts w:ascii="Times New Roman" w:eastAsiaTheme="minorHAnsi" w:hAnsi="Times New Roman"/>
          <w:sz w:val="24"/>
          <w:szCs w:val="24"/>
        </w:rPr>
      </w:pPr>
      <w:r w:rsidRPr="00595188">
        <w:rPr>
          <w:rFonts w:ascii="Times New Roman" w:eastAsiaTheme="minorHAnsi" w:hAnsi="Times New Roman"/>
          <w:sz w:val="24"/>
          <w:szCs w:val="24"/>
        </w:rPr>
        <w:t>The company acquired a saloon car for the general manager for shs. 6,000,000 on 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July 2020</w:t>
      </w:r>
    </w:p>
    <w:p w:rsidR="00595188" w:rsidRPr="00595188" w:rsidRDefault="00595188" w:rsidP="00595188">
      <w:pPr>
        <w:pStyle w:val="ListParagraph"/>
        <w:numPr>
          <w:ilvl w:val="2"/>
          <w:numId w:val="12"/>
        </w:numPr>
        <w:spacing w:after="0"/>
        <w:rPr>
          <w:rFonts w:ascii="Times New Roman" w:eastAsiaTheme="minorHAnsi" w:hAnsi="Times New Roman"/>
          <w:sz w:val="24"/>
          <w:szCs w:val="24"/>
        </w:rPr>
      </w:pPr>
      <w:r w:rsidRPr="00595188">
        <w:rPr>
          <w:rFonts w:ascii="Times New Roman" w:eastAsiaTheme="minorHAnsi" w:hAnsi="Times New Roman"/>
          <w:sz w:val="24"/>
          <w:szCs w:val="24"/>
        </w:rPr>
        <w:t>Bad debts relate to compensation due from re-insurance under receivership</w:t>
      </w:r>
    </w:p>
    <w:p w:rsidR="00595188" w:rsidRPr="00595188" w:rsidRDefault="00595188" w:rsidP="00595188">
      <w:pPr>
        <w:pStyle w:val="ListParagraph"/>
        <w:numPr>
          <w:ilvl w:val="2"/>
          <w:numId w:val="12"/>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Management salaries include wages amounting to shs. 2,010,000 for part time employees working in the life assurance department </w:t>
      </w:r>
    </w:p>
    <w:p w:rsidR="00595188" w:rsidRPr="00595188" w:rsidRDefault="00595188" w:rsidP="00595188">
      <w:pPr>
        <w:spacing w:after="0"/>
        <w:rPr>
          <w:rFonts w:ascii="Times New Roman" w:eastAsiaTheme="minorHAnsi" w:hAnsi="Times New Roman"/>
          <w:b/>
          <w:sz w:val="24"/>
          <w:szCs w:val="24"/>
        </w:rPr>
      </w:pPr>
      <w:r w:rsidRPr="00595188">
        <w:rPr>
          <w:rFonts w:ascii="Times New Roman" w:eastAsiaTheme="minorHAnsi" w:hAnsi="Times New Roman"/>
          <w:b/>
          <w:sz w:val="24"/>
          <w:szCs w:val="24"/>
        </w:rPr>
        <w:t>Required</w:t>
      </w:r>
    </w:p>
    <w:p w:rsidR="00595188" w:rsidRPr="00595188" w:rsidRDefault="00595188" w:rsidP="00595188">
      <w:pPr>
        <w:pStyle w:val="ListParagraph"/>
        <w:numPr>
          <w:ilvl w:val="0"/>
          <w:numId w:val="11"/>
        </w:numPr>
        <w:spacing w:after="0"/>
        <w:rPr>
          <w:rFonts w:ascii="Times New Roman" w:eastAsiaTheme="minorHAnsi" w:hAnsi="Times New Roman"/>
          <w:sz w:val="24"/>
          <w:szCs w:val="24"/>
        </w:rPr>
      </w:pPr>
      <w:r w:rsidRPr="00595188">
        <w:rPr>
          <w:rFonts w:ascii="Times New Roman" w:eastAsiaTheme="minorHAnsi" w:hAnsi="Times New Roman"/>
          <w:sz w:val="24"/>
          <w:szCs w:val="24"/>
        </w:rPr>
        <w:t>Taxable profit or loss for the company for the year ended 31</w:t>
      </w:r>
      <w:r w:rsidRPr="00595188">
        <w:rPr>
          <w:rFonts w:ascii="Times New Roman" w:eastAsiaTheme="minorHAnsi" w:hAnsi="Times New Roman"/>
          <w:sz w:val="24"/>
          <w:szCs w:val="24"/>
          <w:vertAlign w:val="superscript"/>
        </w:rPr>
        <w:t>st</w:t>
      </w:r>
      <w:r w:rsidRPr="00595188">
        <w:rPr>
          <w:rFonts w:ascii="Times New Roman" w:eastAsiaTheme="minorHAnsi" w:hAnsi="Times New Roman"/>
          <w:sz w:val="24"/>
          <w:szCs w:val="24"/>
        </w:rPr>
        <w:t xml:space="preserve"> Dec 2020.</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b/>
          <w:sz w:val="24"/>
          <w:szCs w:val="24"/>
        </w:rPr>
        <w:t>(14 marks)</w:t>
      </w:r>
    </w:p>
    <w:p w:rsidR="00595188" w:rsidRPr="00595188" w:rsidRDefault="00595188" w:rsidP="00595188">
      <w:pPr>
        <w:pStyle w:val="ListParagraph"/>
        <w:numPr>
          <w:ilvl w:val="0"/>
          <w:numId w:val="11"/>
        </w:numPr>
        <w:spacing w:after="0"/>
        <w:rPr>
          <w:rFonts w:ascii="Times New Roman" w:eastAsiaTheme="minorHAnsi" w:hAnsi="Times New Roman"/>
          <w:sz w:val="24"/>
          <w:szCs w:val="24"/>
        </w:rPr>
      </w:pPr>
      <w:r w:rsidRPr="00595188">
        <w:rPr>
          <w:rFonts w:ascii="Times New Roman" w:eastAsiaTheme="minorHAnsi" w:hAnsi="Times New Roman"/>
          <w:sz w:val="24"/>
          <w:szCs w:val="24"/>
        </w:rPr>
        <w:t xml:space="preserve">Tax payable if any.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sz w:val="24"/>
          <w:szCs w:val="24"/>
        </w:rPr>
        <w:tab/>
        <w:t xml:space="preserve">     </w:t>
      </w:r>
      <w:r>
        <w:rPr>
          <w:rFonts w:ascii="Times New Roman" w:eastAsiaTheme="minorHAnsi" w:hAnsi="Times New Roman"/>
          <w:sz w:val="24"/>
          <w:szCs w:val="24"/>
        </w:rPr>
        <w:tab/>
      </w:r>
      <w:r w:rsidRPr="00595188">
        <w:rPr>
          <w:rFonts w:ascii="Times New Roman" w:eastAsiaTheme="minorHAnsi" w:hAnsi="Times New Roman"/>
          <w:sz w:val="24"/>
          <w:szCs w:val="24"/>
        </w:rPr>
        <w:t xml:space="preserve"> </w:t>
      </w:r>
      <w:r w:rsidRPr="00595188">
        <w:rPr>
          <w:rFonts w:ascii="Times New Roman" w:eastAsiaTheme="minorHAnsi" w:hAnsi="Times New Roman"/>
          <w:b/>
          <w:sz w:val="24"/>
          <w:szCs w:val="24"/>
        </w:rPr>
        <w:t>(6 marks)</w:t>
      </w:r>
    </w:p>
    <w:p w:rsidR="00595188" w:rsidRPr="00595188" w:rsidRDefault="00595188" w:rsidP="00595188">
      <w:pPr>
        <w:rPr>
          <w:rFonts w:ascii="Times New Roman" w:eastAsiaTheme="minorHAnsi" w:hAnsi="Times New Roman"/>
          <w:b/>
          <w:sz w:val="24"/>
          <w:szCs w:val="24"/>
        </w:rPr>
      </w:pPr>
    </w:p>
    <w:p w:rsidR="00595188" w:rsidRPr="00595188" w:rsidRDefault="00595188" w:rsidP="00595188">
      <w:pPr>
        <w:rPr>
          <w:rFonts w:ascii="Times New Roman" w:eastAsiaTheme="minorHAnsi" w:hAnsi="Times New Roman"/>
          <w:b/>
          <w:sz w:val="24"/>
          <w:szCs w:val="24"/>
        </w:rPr>
      </w:pPr>
      <w:r w:rsidRPr="00595188">
        <w:rPr>
          <w:rFonts w:ascii="Times New Roman" w:eastAsiaTheme="minorHAnsi" w:hAnsi="Times New Roman"/>
          <w:b/>
          <w:sz w:val="24"/>
          <w:szCs w:val="24"/>
        </w:rPr>
        <w:t>QUESTION FIVE</w:t>
      </w:r>
    </w:p>
    <w:p w:rsidR="00595188" w:rsidRPr="00595188" w:rsidRDefault="00595188" w:rsidP="00595188">
      <w:pPr>
        <w:pStyle w:val="ListParagraph"/>
        <w:numPr>
          <w:ilvl w:val="0"/>
          <w:numId w:val="9"/>
        </w:numPr>
        <w:rPr>
          <w:rFonts w:ascii="Times New Roman" w:eastAsiaTheme="minorHAnsi" w:hAnsi="Times New Roman"/>
          <w:sz w:val="24"/>
          <w:szCs w:val="24"/>
        </w:rPr>
      </w:pPr>
      <w:r w:rsidRPr="00595188">
        <w:rPr>
          <w:rFonts w:ascii="Times New Roman" w:eastAsiaTheme="minorHAnsi" w:hAnsi="Times New Roman"/>
          <w:sz w:val="24"/>
          <w:szCs w:val="24"/>
        </w:rPr>
        <w:t>Briefly discuss the following capital investment allowances</w:t>
      </w:r>
    </w:p>
    <w:p w:rsidR="00595188" w:rsidRPr="00595188" w:rsidRDefault="00595188" w:rsidP="00595188">
      <w:pPr>
        <w:pStyle w:val="ListParagraph"/>
        <w:numPr>
          <w:ilvl w:val="0"/>
          <w:numId w:val="10"/>
        </w:numPr>
        <w:rPr>
          <w:rFonts w:ascii="Times New Roman" w:eastAsiaTheme="minorHAnsi" w:hAnsi="Times New Roman"/>
          <w:sz w:val="24"/>
          <w:szCs w:val="24"/>
        </w:rPr>
      </w:pPr>
      <w:r w:rsidRPr="00595188">
        <w:rPr>
          <w:rFonts w:ascii="Times New Roman" w:eastAsiaTheme="minorHAnsi" w:hAnsi="Times New Roman"/>
          <w:sz w:val="24"/>
          <w:szCs w:val="24"/>
        </w:rPr>
        <w:t>Indu</w:t>
      </w:r>
      <w:r>
        <w:rPr>
          <w:rFonts w:ascii="Times New Roman" w:eastAsiaTheme="minorHAnsi" w:hAnsi="Times New Roman"/>
          <w:sz w:val="24"/>
          <w:szCs w:val="24"/>
        </w:rPr>
        <w:t>strial Building Allowance</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595188">
        <w:rPr>
          <w:rFonts w:ascii="Times New Roman" w:eastAsiaTheme="minorHAnsi" w:hAnsi="Times New Roman"/>
          <w:b/>
          <w:sz w:val="24"/>
          <w:szCs w:val="24"/>
        </w:rPr>
        <w:t>(4 marks)</w:t>
      </w:r>
    </w:p>
    <w:p w:rsidR="00595188" w:rsidRPr="00595188" w:rsidRDefault="00595188" w:rsidP="00595188">
      <w:pPr>
        <w:pStyle w:val="ListParagraph"/>
        <w:numPr>
          <w:ilvl w:val="0"/>
          <w:numId w:val="10"/>
        </w:numPr>
        <w:rPr>
          <w:rFonts w:ascii="Times New Roman" w:eastAsiaTheme="minorHAnsi" w:hAnsi="Times New Roman"/>
          <w:sz w:val="24"/>
          <w:szCs w:val="24"/>
        </w:rPr>
      </w:pPr>
      <w:r w:rsidRPr="00595188">
        <w:rPr>
          <w:rFonts w:ascii="Times New Roman" w:eastAsiaTheme="minorHAnsi" w:hAnsi="Times New Roman"/>
          <w:sz w:val="24"/>
          <w:szCs w:val="24"/>
        </w:rPr>
        <w:t xml:space="preserve">Investment Deduction </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b/>
          <w:sz w:val="24"/>
          <w:szCs w:val="24"/>
        </w:rPr>
        <w:t>(4 marks)</w:t>
      </w:r>
    </w:p>
    <w:p w:rsidR="00595188" w:rsidRPr="00595188" w:rsidRDefault="00595188" w:rsidP="00595188">
      <w:pPr>
        <w:pStyle w:val="ListParagraph"/>
        <w:numPr>
          <w:ilvl w:val="0"/>
          <w:numId w:val="10"/>
        </w:numPr>
        <w:rPr>
          <w:rFonts w:ascii="Times New Roman" w:eastAsiaTheme="minorHAnsi" w:hAnsi="Times New Roman"/>
          <w:b/>
          <w:sz w:val="24"/>
          <w:szCs w:val="24"/>
        </w:rPr>
      </w:pPr>
      <w:r>
        <w:rPr>
          <w:rFonts w:ascii="Times New Roman" w:eastAsiaTheme="minorHAnsi" w:hAnsi="Times New Roman"/>
          <w:sz w:val="24"/>
          <w:szCs w:val="24"/>
        </w:rPr>
        <w:t>Farm Works Deduction</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595188">
        <w:rPr>
          <w:rFonts w:ascii="Times New Roman" w:eastAsiaTheme="minorHAnsi" w:hAnsi="Times New Roman"/>
          <w:sz w:val="24"/>
          <w:szCs w:val="24"/>
        </w:rPr>
        <w:t xml:space="preserve"> </w:t>
      </w:r>
      <w:r w:rsidRPr="00595188">
        <w:rPr>
          <w:rFonts w:ascii="Times New Roman" w:eastAsiaTheme="minorHAnsi" w:hAnsi="Times New Roman"/>
          <w:b/>
          <w:sz w:val="24"/>
          <w:szCs w:val="24"/>
        </w:rPr>
        <w:t>(4 marks)</w:t>
      </w:r>
    </w:p>
    <w:p w:rsidR="00595188" w:rsidRPr="00595188" w:rsidRDefault="00595188" w:rsidP="00595188">
      <w:pPr>
        <w:pStyle w:val="ListParagraph"/>
        <w:numPr>
          <w:ilvl w:val="0"/>
          <w:numId w:val="9"/>
        </w:numPr>
        <w:rPr>
          <w:rFonts w:ascii="Times New Roman" w:eastAsiaTheme="minorHAnsi" w:hAnsi="Times New Roman"/>
          <w:b/>
          <w:sz w:val="24"/>
          <w:szCs w:val="24"/>
        </w:rPr>
      </w:pPr>
      <w:r w:rsidRPr="00595188">
        <w:rPr>
          <w:rFonts w:ascii="Times New Roman" w:eastAsiaTheme="minorHAnsi" w:hAnsi="Times New Roman"/>
          <w:sz w:val="24"/>
          <w:szCs w:val="24"/>
        </w:rPr>
        <w:t>In order to discourage transfer price manipulation by multinationals, prices have to be fixed at arm’s length. Discuss any four ways of determining arm’s length price.</w:t>
      </w:r>
      <w:r w:rsidRPr="00595188">
        <w:rPr>
          <w:rFonts w:ascii="Times New Roman" w:eastAsiaTheme="minorHAnsi" w:hAnsi="Times New Roman"/>
          <w:sz w:val="24"/>
          <w:szCs w:val="24"/>
        </w:rPr>
        <w:tab/>
      </w:r>
      <w:r w:rsidRPr="00595188">
        <w:rPr>
          <w:rFonts w:ascii="Times New Roman" w:eastAsiaTheme="minorHAnsi" w:hAnsi="Times New Roman"/>
          <w:sz w:val="24"/>
          <w:szCs w:val="24"/>
        </w:rPr>
        <w:tab/>
        <w:t xml:space="preserve">       </w:t>
      </w:r>
      <w:r w:rsidRPr="00595188">
        <w:rPr>
          <w:rFonts w:ascii="Times New Roman" w:eastAsiaTheme="minorHAnsi" w:hAnsi="Times New Roman"/>
          <w:b/>
          <w:sz w:val="24"/>
          <w:szCs w:val="24"/>
        </w:rPr>
        <w:t>(8 marks)</w:t>
      </w:r>
    </w:p>
    <w:p w:rsidR="00595188" w:rsidRPr="00595188" w:rsidRDefault="00595188" w:rsidP="00595188">
      <w:pPr>
        <w:rPr>
          <w:rFonts w:ascii="Times New Roman" w:eastAsiaTheme="minorHAnsi" w:hAnsi="Times New Roman"/>
          <w:sz w:val="24"/>
          <w:szCs w:val="24"/>
        </w:rPr>
      </w:pPr>
    </w:p>
    <w:p w:rsidR="00595188" w:rsidRPr="00A66D20" w:rsidRDefault="00595188" w:rsidP="00E16478">
      <w:pPr>
        <w:spacing w:before="120" w:after="120" w:line="360" w:lineRule="auto"/>
        <w:rPr>
          <w:rFonts w:asciiTheme="majorBidi" w:hAnsiTheme="majorBidi" w:cstheme="majorBidi"/>
          <w:b/>
          <w:sz w:val="24"/>
          <w:szCs w:val="24"/>
        </w:rPr>
      </w:pPr>
    </w:p>
    <w:sectPr w:rsidR="00595188"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75" w:rsidRDefault="007B5B75">
      <w:pPr>
        <w:spacing w:after="0" w:line="240" w:lineRule="auto"/>
      </w:pPr>
      <w:r>
        <w:separator/>
      </w:r>
    </w:p>
  </w:endnote>
  <w:endnote w:type="continuationSeparator" w:id="0">
    <w:p w:rsidR="007B5B75" w:rsidRDefault="007B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7B5B7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B784B">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7B5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75" w:rsidRDefault="007B5B75">
      <w:pPr>
        <w:spacing w:after="0" w:line="240" w:lineRule="auto"/>
      </w:pPr>
      <w:r>
        <w:separator/>
      </w:r>
    </w:p>
  </w:footnote>
  <w:footnote w:type="continuationSeparator" w:id="0">
    <w:p w:rsidR="007B5B75" w:rsidRDefault="007B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7B5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7B5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D48"/>
    <w:multiLevelType w:val="hybridMultilevel"/>
    <w:tmpl w:val="163C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5B7F"/>
    <w:multiLevelType w:val="hybridMultilevel"/>
    <w:tmpl w:val="22D83924"/>
    <w:lvl w:ilvl="0" w:tplc="0409000F">
      <w:start w:val="1"/>
      <w:numFmt w:val="decimal"/>
      <w:lvlText w:val="%1."/>
      <w:lvlJc w:val="left"/>
      <w:pPr>
        <w:ind w:left="720" w:hanging="360"/>
      </w:pPr>
    </w:lvl>
    <w:lvl w:ilvl="1" w:tplc="89A287F4">
      <w:start w:val="1"/>
      <w:numFmt w:val="lowerLetter"/>
      <w:lvlText w:val="%2)"/>
      <w:lvlJc w:val="left"/>
      <w:pPr>
        <w:ind w:left="1440" w:hanging="360"/>
      </w:pPr>
      <w:rPr>
        <w:rFonts w:hint="default"/>
      </w:rPr>
    </w:lvl>
    <w:lvl w:ilvl="2" w:tplc="525613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969FD"/>
    <w:multiLevelType w:val="hybridMultilevel"/>
    <w:tmpl w:val="D906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D0D22"/>
    <w:multiLevelType w:val="hybridMultilevel"/>
    <w:tmpl w:val="00B0C28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87186"/>
    <w:multiLevelType w:val="hybridMultilevel"/>
    <w:tmpl w:val="3626B6B6"/>
    <w:lvl w:ilvl="0" w:tplc="D1984F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33491"/>
    <w:multiLevelType w:val="hybridMultilevel"/>
    <w:tmpl w:val="CF941E7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92C25"/>
    <w:multiLevelType w:val="hybridMultilevel"/>
    <w:tmpl w:val="8BB06332"/>
    <w:lvl w:ilvl="0" w:tplc="5FA0EA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9289E"/>
    <w:multiLevelType w:val="hybridMultilevel"/>
    <w:tmpl w:val="C7D6D89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074B1"/>
    <w:multiLevelType w:val="hybridMultilevel"/>
    <w:tmpl w:val="D0F2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48"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F7547"/>
    <w:multiLevelType w:val="hybridMultilevel"/>
    <w:tmpl w:val="6802AB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4E80D5E"/>
    <w:multiLevelType w:val="hybridMultilevel"/>
    <w:tmpl w:val="33E89384"/>
    <w:lvl w:ilvl="0" w:tplc="9EBE77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11792"/>
    <w:multiLevelType w:val="hybridMultilevel"/>
    <w:tmpl w:val="947833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827F9"/>
    <w:multiLevelType w:val="hybridMultilevel"/>
    <w:tmpl w:val="89AAC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37E5B"/>
    <w:multiLevelType w:val="hybridMultilevel"/>
    <w:tmpl w:val="1B5AABEA"/>
    <w:lvl w:ilvl="0" w:tplc="DBC22454">
      <w:start w:val="1"/>
      <w:numFmt w:val="lowerRoman"/>
      <w:lvlText w:val="%1."/>
      <w:lvlJc w:val="right"/>
      <w:pPr>
        <w:ind w:left="149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2464F"/>
    <w:multiLevelType w:val="hybridMultilevel"/>
    <w:tmpl w:val="3B827CBA"/>
    <w:lvl w:ilvl="0" w:tplc="5262ECB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12"/>
  </w:num>
  <w:num w:numId="7">
    <w:abstractNumId w:val="10"/>
  </w:num>
  <w:num w:numId="8">
    <w:abstractNumId w:val="7"/>
  </w:num>
  <w:num w:numId="9">
    <w:abstractNumId w:val="5"/>
  </w:num>
  <w:num w:numId="10">
    <w:abstractNumId w:val="14"/>
  </w:num>
  <w:num w:numId="11">
    <w:abstractNumId w:val="8"/>
  </w:num>
  <w:num w:numId="12">
    <w:abstractNumId w:val="9"/>
  </w:num>
  <w:num w:numId="13">
    <w:abstractNumId w:val="4"/>
  </w:num>
  <w:num w:numId="14">
    <w:abstractNumId w:val="15"/>
  </w:num>
  <w:num w:numId="15">
    <w:abstractNumId w:val="13"/>
  </w:num>
  <w:num w:numId="16">
    <w:abstractNumId w:val="11"/>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5188"/>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5B75"/>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B784B"/>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3CA746C"/>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5951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9253-4E1F-425E-B9B3-2FC13D17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207</cp:revision>
  <cp:lastPrinted>2016-11-24T09:20:00Z</cp:lastPrinted>
  <dcterms:created xsi:type="dcterms:W3CDTF">2015-01-06T14:30:00Z</dcterms:created>
  <dcterms:modified xsi:type="dcterms:W3CDTF">2021-04-08T07:24:00Z</dcterms:modified>
</cp:coreProperties>
</file>